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63136" w14:textId="0E1E6C48" w:rsidR="00E74ED0" w:rsidRPr="00382A8B" w:rsidRDefault="00E74ED0" w:rsidP="00160CEA">
      <w:pPr>
        <w:shd w:val="clear" w:color="auto" w:fill="F2F2F2" w:themeFill="background1" w:themeFillShade="F2"/>
        <w:spacing w:line="300" w:lineRule="atLeast"/>
        <w:jc w:val="center"/>
        <w:rPr>
          <w:rFonts w:ascii="Times New Roman" w:hAnsi="Times New Roman" w:cs="Times New Roman"/>
          <w:b/>
          <w:sz w:val="22"/>
          <w:szCs w:val="22"/>
        </w:rPr>
      </w:pPr>
      <w:r w:rsidRPr="00382A8B">
        <w:rPr>
          <w:rFonts w:ascii="Times New Roman" w:hAnsi="Times New Roman" w:cs="Times New Roman"/>
          <w:b/>
          <w:sz w:val="22"/>
          <w:szCs w:val="22"/>
        </w:rPr>
        <w:t>Kapitel 19 - Zahlungsbilanz</w:t>
      </w:r>
    </w:p>
    <w:p w14:paraId="7D5E1CE8" w14:textId="4588C801" w:rsidR="00324F68" w:rsidRPr="00382A8B" w:rsidRDefault="00324F68" w:rsidP="00160CEA">
      <w:pPr>
        <w:shd w:val="clear" w:color="auto" w:fill="F2F2F2" w:themeFill="background1" w:themeFillShade="F2"/>
        <w:spacing w:line="300" w:lineRule="atLeast"/>
        <w:jc w:val="center"/>
        <w:rPr>
          <w:rFonts w:ascii="Times New Roman" w:hAnsi="Times New Roman" w:cs="Times New Roman"/>
          <w:b/>
          <w:sz w:val="22"/>
          <w:szCs w:val="22"/>
        </w:rPr>
      </w:pPr>
      <w:r w:rsidRPr="00382A8B">
        <w:rPr>
          <w:rFonts w:ascii="Times New Roman" w:hAnsi="Times New Roman" w:cs="Times New Roman"/>
          <w:b/>
          <w:sz w:val="22"/>
          <w:szCs w:val="22"/>
        </w:rPr>
        <w:t xml:space="preserve">Exkurs </w:t>
      </w:r>
      <w:r w:rsidR="00AA32F2" w:rsidRPr="00382A8B">
        <w:rPr>
          <w:rFonts w:ascii="Times New Roman" w:hAnsi="Times New Roman" w:cs="Times New Roman"/>
          <w:b/>
          <w:sz w:val="22"/>
          <w:szCs w:val="22"/>
        </w:rPr>
        <w:t>„</w:t>
      </w:r>
      <w:r w:rsidRPr="00382A8B">
        <w:rPr>
          <w:rFonts w:ascii="Times New Roman" w:hAnsi="Times New Roman" w:cs="Times New Roman"/>
          <w:b/>
          <w:sz w:val="22"/>
          <w:szCs w:val="22"/>
        </w:rPr>
        <w:t>Devisenbilanz</w:t>
      </w:r>
      <w:r w:rsidR="00AA32F2" w:rsidRPr="00382A8B">
        <w:rPr>
          <w:rFonts w:ascii="Times New Roman" w:hAnsi="Times New Roman" w:cs="Times New Roman"/>
          <w:b/>
          <w:sz w:val="22"/>
          <w:szCs w:val="22"/>
        </w:rPr>
        <w:t>“</w:t>
      </w:r>
    </w:p>
    <w:p w14:paraId="5A6D88EC" w14:textId="77777777" w:rsidR="00324F68" w:rsidRPr="00382A8B" w:rsidRDefault="00324F68" w:rsidP="00324F68">
      <w:pPr>
        <w:spacing w:line="300" w:lineRule="atLeast"/>
        <w:jc w:val="both"/>
        <w:rPr>
          <w:rFonts w:ascii="Times New Roman" w:hAnsi="Times New Roman" w:cs="Times New Roman"/>
          <w:bCs w:val="0"/>
          <w:sz w:val="22"/>
          <w:szCs w:val="22"/>
        </w:rPr>
      </w:pPr>
    </w:p>
    <w:p w14:paraId="0A29DBF4" w14:textId="66253657" w:rsidR="002D3E7F" w:rsidRPr="00382A8B" w:rsidRDefault="00324F68" w:rsidP="009B482A">
      <w:pPr>
        <w:spacing w:after="120" w:line="300" w:lineRule="atLeast"/>
        <w:jc w:val="both"/>
        <w:rPr>
          <w:rFonts w:ascii="Times New Roman" w:hAnsi="Times New Roman" w:cs="Times New Roman"/>
          <w:sz w:val="22"/>
          <w:szCs w:val="22"/>
        </w:rPr>
      </w:pPr>
      <w:r w:rsidRPr="00382A8B">
        <w:rPr>
          <w:rFonts w:ascii="Times New Roman" w:hAnsi="Times New Roman" w:cs="Times New Roman"/>
          <w:bCs w:val="0"/>
          <w:sz w:val="22"/>
          <w:szCs w:val="22"/>
        </w:rPr>
        <w:t xml:space="preserve">Die </w:t>
      </w:r>
      <w:r w:rsidRPr="00382A8B">
        <w:rPr>
          <w:rFonts w:ascii="Times New Roman" w:hAnsi="Times New Roman" w:cs="Times New Roman"/>
          <w:b/>
          <w:bCs w:val="0"/>
          <w:sz w:val="22"/>
          <w:szCs w:val="22"/>
        </w:rPr>
        <w:t>Devisenbilanz</w:t>
      </w:r>
      <w:r w:rsidRPr="00382A8B">
        <w:rPr>
          <w:rFonts w:ascii="Times New Roman" w:hAnsi="Times New Roman" w:cs="Times New Roman"/>
          <w:sz w:val="22"/>
          <w:szCs w:val="22"/>
        </w:rPr>
        <w:t xml:space="preserve"> ist als Teilbilanz der Kapitalbilanz im weiteren Sinne zu betrachten.</w:t>
      </w:r>
      <w:r w:rsidR="002D3E7F" w:rsidRPr="00382A8B">
        <w:rPr>
          <w:rFonts w:ascii="Times New Roman" w:hAnsi="Times New Roman" w:cs="Times New Roman"/>
          <w:sz w:val="22"/>
          <w:szCs w:val="22"/>
        </w:rPr>
        <w:t xml:space="preserve"> </w:t>
      </w:r>
      <w:r w:rsidRPr="00382A8B">
        <w:rPr>
          <w:rFonts w:ascii="Times New Roman" w:hAnsi="Times New Roman" w:cs="Times New Roman"/>
          <w:sz w:val="22"/>
          <w:szCs w:val="22"/>
        </w:rPr>
        <w:t>Sie</w:t>
      </w:r>
      <w:r w:rsidRPr="00382A8B">
        <w:rPr>
          <w:rFonts w:ascii="Times New Roman" w:hAnsi="Times New Roman" w:cs="Times New Roman"/>
          <w:bCs w:val="0"/>
          <w:sz w:val="22"/>
          <w:szCs w:val="22"/>
        </w:rPr>
        <w:t xml:space="preserve"> erfasst die Transaktionen der Notenbank, die </w:t>
      </w:r>
      <w:r w:rsidR="00171E14" w:rsidRPr="00382A8B">
        <w:rPr>
          <w:rFonts w:ascii="Times New Roman" w:hAnsi="Times New Roman" w:cs="Times New Roman"/>
          <w:bCs w:val="0"/>
          <w:sz w:val="22"/>
          <w:szCs w:val="22"/>
        </w:rPr>
        <w:t xml:space="preserve">zur Änderung der Währungsreserven der Notenbank führen. </w:t>
      </w:r>
      <w:r w:rsidR="00171E14" w:rsidRPr="00382A8B">
        <w:rPr>
          <w:rFonts w:ascii="Times New Roman" w:hAnsi="Times New Roman" w:cs="Times New Roman"/>
          <w:sz w:val="22"/>
          <w:szCs w:val="22"/>
        </w:rPr>
        <w:t xml:space="preserve"> </w:t>
      </w:r>
      <w:r w:rsidRPr="00382A8B">
        <w:rPr>
          <w:rFonts w:ascii="Times New Roman" w:hAnsi="Times New Roman" w:cs="Times New Roman"/>
          <w:sz w:val="22"/>
          <w:szCs w:val="22"/>
        </w:rPr>
        <w:t xml:space="preserve">Verbucht werden hier </w:t>
      </w:r>
      <w:r w:rsidR="00171E14" w:rsidRPr="00382A8B">
        <w:rPr>
          <w:rFonts w:ascii="Times New Roman" w:hAnsi="Times New Roman" w:cs="Times New Roman"/>
          <w:sz w:val="22"/>
          <w:szCs w:val="22"/>
        </w:rPr>
        <w:t xml:space="preserve">Notenbanktransaktionen mit ausländischen Devisen (hauptsächlich US-$), </w:t>
      </w:r>
      <w:r w:rsidR="002D3E7F" w:rsidRPr="00382A8B">
        <w:rPr>
          <w:rFonts w:ascii="Times New Roman" w:hAnsi="Times New Roman" w:cs="Times New Roman"/>
          <w:sz w:val="22"/>
          <w:szCs w:val="22"/>
        </w:rPr>
        <w:t xml:space="preserve">Krediten </w:t>
      </w:r>
      <w:r w:rsidR="00E22457" w:rsidRPr="00382A8B">
        <w:rPr>
          <w:rFonts w:ascii="Times New Roman" w:hAnsi="Times New Roman" w:cs="Times New Roman"/>
          <w:sz w:val="22"/>
          <w:szCs w:val="22"/>
        </w:rPr>
        <w:t>und sonstigen Forderungen an das Ausland</w:t>
      </w:r>
      <w:r w:rsidR="002D3E7F" w:rsidRPr="00382A8B">
        <w:rPr>
          <w:rFonts w:ascii="Times New Roman" w:hAnsi="Times New Roman" w:cs="Times New Roman"/>
          <w:sz w:val="22"/>
          <w:szCs w:val="22"/>
        </w:rPr>
        <w:t xml:space="preserve"> (z.B. US-Bills), </w:t>
      </w:r>
      <w:r w:rsidR="00171E14" w:rsidRPr="00382A8B">
        <w:rPr>
          <w:rFonts w:ascii="Times New Roman" w:hAnsi="Times New Roman" w:cs="Times New Roman"/>
          <w:sz w:val="22"/>
          <w:szCs w:val="22"/>
        </w:rPr>
        <w:t xml:space="preserve">Sonderziehungsrechten beim </w:t>
      </w:r>
      <w:r w:rsidRPr="00382A8B">
        <w:rPr>
          <w:rFonts w:ascii="Times New Roman" w:hAnsi="Times New Roman" w:cs="Times New Roman"/>
          <w:sz w:val="22"/>
          <w:szCs w:val="22"/>
        </w:rPr>
        <w:t>Internationalen Währungsfonds</w:t>
      </w:r>
      <w:r w:rsidR="00171E14" w:rsidRPr="00382A8B">
        <w:rPr>
          <w:rFonts w:ascii="Times New Roman" w:hAnsi="Times New Roman" w:cs="Times New Roman"/>
          <w:sz w:val="22"/>
          <w:szCs w:val="22"/>
        </w:rPr>
        <w:t xml:space="preserve"> und Gold. </w:t>
      </w:r>
    </w:p>
    <w:p w14:paraId="3A1067D0" w14:textId="2FF6E182" w:rsidR="002D3E7F" w:rsidRPr="00382A8B" w:rsidRDefault="002D3E7F" w:rsidP="009B482A">
      <w:pPr>
        <w:spacing w:after="120" w:line="300" w:lineRule="atLeast"/>
        <w:jc w:val="both"/>
        <w:rPr>
          <w:rFonts w:ascii="Times New Roman" w:hAnsi="Times New Roman" w:cs="Times New Roman"/>
          <w:sz w:val="22"/>
          <w:szCs w:val="22"/>
        </w:rPr>
      </w:pPr>
      <w:r w:rsidRPr="00382A8B">
        <w:rPr>
          <w:rFonts w:ascii="Times New Roman" w:hAnsi="Times New Roman" w:cs="Times New Roman"/>
          <w:sz w:val="22"/>
          <w:szCs w:val="22"/>
        </w:rPr>
        <w:t xml:space="preserve">Der Kauf von Devisen führt zum Abfluss der eigenen Währung und wird in der Devisenbilanz auf der Passivseite verbucht (er kann auch als </w:t>
      </w:r>
      <w:r w:rsidR="00E22457" w:rsidRPr="00382A8B">
        <w:rPr>
          <w:rFonts w:ascii="Times New Roman" w:hAnsi="Times New Roman" w:cs="Times New Roman"/>
          <w:sz w:val="22"/>
          <w:szCs w:val="22"/>
        </w:rPr>
        <w:t>Kapitalexport interpretiert werden, da durch den Devisenkauf die Auslandsforderungen steigen).</w:t>
      </w:r>
      <w:r w:rsidRPr="00382A8B">
        <w:rPr>
          <w:rFonts w:ascii="Times New Roman" w:hAnsi="Times New Roman" w:cs="Times New Roman"/>
          <w:sz w:val="22"/>
          <w:szCs w:val="22"/>
        </w:rPr>
        <w:t xml:space="preserve"> </w:t>
      </w:r>
      <w:r w:rsidR="00E22457" w:rsidRPr="00382A8B">
        <w:rPr>
          <w:rFonts w:ascii="Times New Roman" w:hAnsi="Times New Roman" w:cs="Times New Roman"/>
          <w:sz w:val="22"/>
          <w:szCs w:val="22"/>
        </w:rPr>
        <w:t>D</w:t>
      </w:r>
      <w:r w:rsidRPr="00382A8B">
        <w:rPr>
          <w:rFonts w:ascii="Times New Roman" w:hAnsi="Times New Roman" w:cs="Times New Roman"/>
          <w:sz w:val="22"/>
          <w:szCs w:val="22"/>
        </w:rPr>
        <w:t>er Verkauf von Devisen</w:t>
      </w:r>
      <w:r w:rsidR="00E22457" w:rsidRPr="00382A8B">
        <w:rPr>
          <w:rFonts w:ascii="Times New Roman" w:hAnsi="Times New Roman" w:cs="Times New Roman"/>
          <w:sz w:val="22"/>
          <w:szCs w:val="22"/>
        </w:rPr>
        <w:t xml:space="preserve"> führt hingegen </w:t>
      </w:r>
      <w:r w:rsidRPr="00382A8B">
        <w:rPr>
          <w:rFonts w:ascii="Times New Roman" w:hAnsi="Times New Roman" w:cs="Times New Roman"/>
          <w:sz w:val="22"/>
          <w:szCs w:val="22"/>
        </w:rPr>
        <w:t>zu einem Zufluss inländischer Zahlungsmittel</w:t>
      </w:r>
      <w:r w:rsidR="00E22457" w:rsidRPr="00382A8B">
        <w:rPr>
          <w:rFonts w:ascii="Times New Roman" w:hAnsi="Times New Roman" w:cs="Times New Roman"/>
          <w:sz w:val="22"/>
          <w:szCs w:val="22"/>
        </w:rPr>
        <w:t xml:space="preserve"> und wird</w:t>
      </w:r>
      <w:r w:rsidRPr="00382A8B">
        <w:rPr>
          <w:rFonts w:ascii="Times New Roman" w:hAnsi="Times New Roman" w:cs="Times New Roman"/>
          <w:sz w:val="22"/>
          <w:szCs w:val="22"/>
        </w:rPr>
        <w:t xml:space="preserve"> auf der Aktivseite erfasst.</w:t>
      </w:r>
    </w:p>
    <w:p w14:paraId="64CCFFAF" w14:textId="24F728EB" w:rsidR="00324F68" w:rsidRPr="00382A8B" w:rsidRDefault="00171E14" w:rsidP="009B482A">
      <w:pPr>
        <w:spacing w:after="120" w:line="300" w:lineRule="atLeast"/>
        <w:jc w:val="both"/>
        <w:rPr>
          <w:rFonts w:ascii="Times New Roman" w:hAnsi="Times New Roman" w:cs="Times New Roman"/>
          <w:bCs w:val="0"/>
          <w:sz w:val="22"/>
          <w:szCs w:val="22"/>
        </w:rPr>
      </w:pPr>
      <w:r w:rsidRPr="00382A8B">
        <w:rPr>
          <w:rFonts w:ascii="Times New Roman" w:hAnsi="Times New Roman" w:cs="Times New Roman"/>
          <w:sz w:val="22"/>
          <w:szCs w:val="22"/>
        </w:rPr>
        <w:t>Die Änderungen an Währungsreserven ergeben sich allerdings nicht nur durch die getätigten Transaktionen, sondern auch aufgrund von Wertänderungen ausländischer Devisen durch Schwankungen der Wechselkurse</w:t>
      </w:r>
      <w:r w:rsidR="003754C1" w:rsidRPr="00382A8B">
        <w:rPr>
          <w:rFonts w:ascii="Times New Roman" w:hAnsi="Times New Roman" w:cs="Times New Roman"/>
          <w:sz w:val="22"/>
          <w:szCs w:val="22"/>
        </w:rPr>
        <w:t xml:space="preserve"> an den Devisenmärkten</w:t>
      </w:r>
      <w:r w:rsidRPr="00382A8B">
        <w:rPr>
          <w:rFonts w:ascii="Times New Roman" w:hAnsi="Times New Roman" w:cs="Times New Roman"/>
          <w:sz w:val="22"/>
          <w:szCs w:val="22"/>
        </w:rPr>
        <w:t>. Wenn also der Euro gegenüber vom US-$ abwertet, nimmt der Wert der Währungsreserven der Deutschen Bundesank</w:t>
      </w:r>
      <w:r w:rsidR="00E742FE" w:rsidRPr="00382A8B">
        <w:rPr>
          <w:rFonts w:ascii="Times New Roman" w:hAnsi="Times New Roman" w:cs="Times New Roman"/>
          <w:sz w:val="22"/>
          <w:szCs w:val="22"/>
        </w:rPr>
        <w:t xml:space="preserve"> in Euro </w:t>
      </w:r>
      <w:r w:rsidR="005E33D6" w:rsidRPr="00382A8B">
        <w:rPr>
          <w:rFonts w:ascii="Times New Roman" w:hAnsi="Times New Roman" w:cs="Times New Roman"/>
          <w:sz w:val="22"/>
          <w:szCs w:val="22"/>
        </w:rPr>
        <w:t>umgerechnet</w:t>
      </w:r>
      <w:r w:rsidRPr="00382A8B">
        <w:rPr>
          <w:rFonts w:ascii="Times New Roman" w:hAnsi="Times New Roman" w:cs="Times New Roman"/>
          <w:sz w:val="22"/>
          <w:szCs w:val="22"/>
        </w:rPr>
        <w:t xml:space="preserve"> ab. Dieser Rückgang ist als Abnahme der Forderungen an das Ausland zu betrachten.</w:t>
      </w:r>
      <w:r w:rsidR="00324F68" w:rsidRPr="00382A8B">
        <w:rPr>
          <w:rFonts w:ascii="Times New Roman" w:hAnsi="Times New Roman" w:cs="Times New Roman"/>
          <w:sz w:val="22"/>
          <w:szCs w:val="22"/>
        </w:rPr>
        <w:t xml:space="preserve"> </w:t>
      </w:r>
    </w:p>
    <w:p w14:paraId="019333FC" w14:textId="032320E0" w:rsidR="00324F68" w:rsidRPr="00382A8B" w:rsidRDefault="00E22457" w:rsidP="009B482A">
      <w:pPr>
        <w:spacing w:after="120" w:line="300" w:lineRule="atLeast"/>
        <w:jc w:val="both"/>
        <w:rPr>
          <w:rFonts w:ascii="Times New Roman" w:hAnsi="Times New Roman" w:cs="Times New Roman"/>
          <w:sz w:val="22"/>
          <w:szCs w:val="22"/>
        </w:rPr>
      </w:pPr>
      <w:r w:rsidRPr="00382A8B">
        <w:rPr>
          <w:rFonts w:ascii="Times New Roman" w:hAnsi="Times New Roman" w:cs="Times New Roman"/>
          <w:sz w:val="22"/>
          <w:szCs w:val="22"/>
        </w:rPr>
        <w:t xml:space="preserve">Die aufgrund von Wechselkursänderungen entstehenden Neubewertungen der Währungsreserven werden in der deutschen Zahlungsbilanzstatistik in einem </w:t>
      </w:r>
      <w:r w:rsidRPr="00382A8B">
        <w:rPr>
          <w:rFonts w:ascii="Times New Roman" w:hAnsi="Times New Roman" w:cs="Times New Roman"/>
          <w:b/>
          <w:bCs w:val="0"/>
          <w:sz w:val="22"/>
          <w:szCs w:val="22"/>
        </w:rPr>
        <w:t>Ausgleichposten</w:t>
      </w:r>
      <w:r w:rsidRPr="00382A8B">
        <w:rPr>
          <w:rFonts w:ascii="Times New Roman" w:hAnsi="Times New Roman" w:cs="Times New Roman"/>
          <w:sz w:val="22"/>
          <w:szCs w:val="22"/>
        </w:rPr>
        <w:t xml:space="preserve"> zur Auslandsposition der Deutschen Bundesbank ausgewiesen.</w:t>
      </w:r>
    </w:p>
    <w:p w14:paraId="255267BC" w14:textId="457D5474" w:rsidR="009B482A" w:rsidRPr="00382A8B" w:rsidRDefault="00324F68" w:rsidP="00E737ED">
      <w:pPr>
        <w:spacing w:line="300" w:lineRule="atLeast"/>
        <w:jc w:val="both"/>
        <w:rPr>
          <w:rFonts w:ascii="Times New Roman" w:hAnsi="Times New Roman" w:cs="Times New Roman"/>
          <w:b/>
          <w:bCs w:val="0"/>
          <w:sz w:val="22"/>
          <w:szCs w:val="22"/>
        </w:rPr>
      </w:pPr>
      <w:r w:rsidRPr="00382A8B">
        <w:rPr>
          <w:rFonts w:ascii="Times New Roman" w:hAnsi="Times New Roman" w:cs="Times New Roman"/>
          <w:sz w:val="22"/>
          <w:szCs w:val="22"/>
        </w:rPr>
        <w:t xml:space="preserve">Betragen die Devisenreserven der </w:t>
      </w:r>
      <w:r w:rsidR="00DC7F03" w:rsidRPr="00382A8B">
        <w:rPr>
          <w:rFonts w:ascii="Times New Roman" w:hAnsi="Times New Roman" w:cs="Times New Roman"/>
          <w:sz w:val="22"/>
          <w:szCs w:val="22"/>
        </w:rPr>
        <w:t xml:space="preserve">Deutschen Bundesbank </w:t>
      </w:r>
      <w:r w:rsidRPr="00382A8B">
        <w:rPr>
          <w:rFonts w:ascii="Times New Roman" w:hAnsi="Times New Roman" w:cs="Times New Roman"/>
          <w:sz w:val="22"/>
          <w:szCs w:val="22"/>
        </w:rPr>
        <w:t>z.</w:t>
      </w:r>
      <w:r w:rsidR="005E33D6" w:rsidRPr="00382A8B">
        <w:rPr>
          <w:rFonts w:ascii="Times New Roman" w:hAnsi="Times New Roman" w:cs="Times New Roman"/>
          <w:sz w:val="22"/>
          <w:szCs w:val="22"/>
        </w:rPr>
        <w:t xml:space="preserve"> </w:t>
      </w:r>
      <w:r w:rsidRPr="00382A8B">
        <w:rPr>
          <w:rFonts w:ascii="Times New Roman" w:hAnsi="Times New Roman" w:cs="Times New Roman"/>
          <w:sz w:val="22"/>
          <w:szCs w:val="22"/>
        </w:rPr>
        <w:t>B. 40 Mrd. US-$ und entspricht ein US-$ einem €, ergibt sich ein €-Gegenwert von 40 Mrd. €. Verändert sich der Wechselkurs z.</w:t>
      </w:r>
      <w:r w:rsidR="005E33D6" w:rsidRPr="00382A8B">
        <w:rPr>
          <w:rFonts w:ascii="Times New Roman" w:hAnsi="Times New Roman" w:cs="Times New Roman"/>
          <w:sz w:val="22"/>
          <w:szCs w:val="22"/>
        </w:rPr>
        <w:t xml:space="preserve"> </w:t>
      </w:r>
      <w:r w:rsidRPr="00382A8B">
        <w:rPr>
          <w:rFonts w:ascii="Times New Roman" w:hAnsi="Times New Roman" w:cs="Times New Roman"/>
          <w:sz w:val="22"/>
          <w:szCs w:val="22"/>
        </w:rPr>
        <w:t xml:space="preserve">B. auf 1 US-$/0,90 €, </w:t>
      </w:r>
      <w:r w:rsidR="00DC7F03" w:rsidRPr="00382A8B">
        <w:rPr>
          <w:rFonts w:ascii="Times New Roman" w:hAnsi="Times New Roman" w:cs="Times New Roman"/>
          <w:sz w:val="22"/>
          <w:szCs w:val="22"/>
        </w:rPr>
        <w:t xml:space="preserve">verringert </w:t>
      </w:r>
      <w:r w:rsidRPr="00382A8B">
        <w:rPr>
          <w:rFonts w:ascii="Times New Roman" w:hAnsi="Times New Roman" w:cs="Times New Roman"/>
          <w:sz w:val="22"/>
          <w:szCs w:val="22"/>
        </w:rPr>
        <w:t xml:space="preserve">sich der €-Gegenwert der Devisenreserven auf 36 Mrd. €, ohne dass eine Kapital- oder Leistungstransaktion stattgefunden hat. In der </w:t>
      </w:r>
      <w:r w:rsidR="00DC7F03" w:rsidRPr="00382A8B">
        <w:rPr>
          <w:rFonts w:ascii="Times New Roman" w:hAnsi="Times New Roman" w:cs="Times New Roman"/>
          <w:sz w:val="22"/>
          <w:szCs w:val="22"/>
        </w:rPr>
        <w:t xml:space="preserve">betriebswirtschaftlichen </w:t>
      </w:r>
      <w:r w:rsidRPr="00382A8B">
        <w:rPr>
          <w:rFonts w:ascii="Times New Roman" w:hAnsi="Times New Roman" w:cs="Times New Roman"/>
          <w:sz w:val="22"/>
          <w:szCs w:val="22"/>
        </w:rPr>
        <w:t xml:space="preserve">Praxis kommt es zu einer Abschreibung (-) von Beständen, </w:t>
      </w:r>
      <w:r w:rsidR="00DC7F03" w:rsidRPr="00382A8B">
        <w:rPr>
          <w:rFonts w:ascii="Times New Roman" w:hAnsi="Times New Roman" w:cs="Times New Roman"/>
          <w:sz w:val="22"/>
          <w:szCs w:val="22"/>
        </w:rPr>
        <w:t xml:space="preserve">oder </w:t>
      </w:r>
      <w:r w:rsidRPr="00382A8B">
        <w:rPr>
          <w:rFonts w:ascii="Times New Roman" w:hAnsi="Times New Roman" w:cs="Times New Roman"/>
          <w:sz w:val="22"/>
          <w:szCs w:val="22"/>
        </w:rPr>
        <w:t>im umgekehrten Fall</w:t>
      </w:r>
      <w:r w:rsidR="005E33D6" w:rsidRPr="00382A8B">
        <w:rPr>
          <w:rFonts w:ascii="Times New Roman" w:hAnsi="Times New Roman" w:cs="Times New Roman"/>
          <w:sz w:val="22"/>
          <w:szCs w:val="22"/>
        </w:rPr>
        <w:t xml:space="preserve"> einer Währungsaufwertung</w:t>
      </w:r>
      <w:r w:rsidRPr="00382A8B">
        <w:rPr>
          <w:rFonts w:ascii="Times New Roman" w:hAnsi="Times New Roman" w:cs="Times New Roman"/>
          <w:sz w:val="22"/>
          <w:szCs w:val="22"/>
        </w:rPr>
        <w:t xml:space="preserve"> zu einer Zuschreibung (+). </w:t>
      </w:r>
    </w:p>
    <w:p w14:paraId="06C8B630" w14:textId="47C49C7A" w:rsidR="006D25BA" w:rsidRPr="00382A8B" w:rsidRDefault="000648FA" w:rsidP="000648FA">
      <w:pPr>
        <w:spacing w:before="240" w:after="240" w:line="300" w:lineRule="atLeast"/>
        <w:jc w:val="both"/>
        <w:rPr>
          <w:rFonts w:ascii="Times New Roman" w:hAnsi="Times New Roman" w:cs="Times New Roman"/>
          <w:b/>
          <w:bCs w:val="0"/>
          <w:sz w:val="22"/>
          <w:szCs w:val="22"/>
        </w:rPr>
      </w:pPr>
      <w:r w:rsidRPr="00382A8B">
        <w:rPr>
          <w:rFonts w:ascii="Times New Roman" w:hAnsi="Times New Roman" w:cs="Times New Roman"/>
          <w:b/>
          <w:bCs w:val="0"/>
          <w:sz w:val="22"/>
          <w:szCs w:val="22"/>
        </w:rPr>
        <w:t>Währungsreserven der Deutschen Bundesbank</w:t>
      </w:r>
    </w:p>
    <w:p w14:paraId="2B706D92" w14:textId="2FB66F7B" w:rsidR="00706A65" w:rsidRPr="00382A8B" w:rsidRDefault="00324F68" w:rsidP="00324F68">
      <w:pPr>
        <w:spacing w:line="300" w:lineRule="atLeast"/>
        <w:jc w:val="both"/>
        <w:rPr>
          <w:rFonts w:ascii="Times New Roman" w:hAnsi="Times New Roman"/>
          <w:sz w:val="22"/>
          <w:szCs w:val="22"/>
        </w:rPr>
      </w:pPr>
      <w:r w:rsidRPr="00382A8B">
        <w:rPr>
          <w:rFonts w:ascii="Times New Roman" w:hAnsi="Times New Roman" w:cs="Times New Roman"/>
          <w:sz w:val="22"/>
          <w:szCs w:val="22"/>
        </w:rPr>
        <w:t xml:space="preserve">Tabelle </w:t>
      </w:r>
      <w:r w:rsidR="00160CEA" w:rsidRPr="00382A8B">
        <w:rPr>
          <w:rFonts w:ascii="Times New Roman" w:hAnsi="Times New Roman" w:cs="Times New Roman"/>
          <w:sz w:val="22"/>
          <w:szCs w:val="22"/>
        </w:rPr>
        <w:t>E</w:t>
      </w:r>
      <w:r w:rsidR="00F554B2" w:rsidRPr="00382A8B">
        <w:rPr>
          <w:rFonts w:ascii="Times New Roman" w:hAnsi="Times New Roman" w:cs="Times New Roman"/>
          <w:sz w:val="22"/>
          <w:szCs w:val="22"/>
        </w:rPr>
        <w:t>.</w:t>
      </w:r>
      <w:r w:rsidRPr="00382A8B">
        <w:rPr>
          <w:rFonts w:ascii="Times New Roman" w:hAnsi="Times New Roman" w:cs="Times New Roman"/>
          <w:sz w:val="22"/>
          <w:szCs w:val="22"/>
        </w:rPr>
        <w:t xml:space="preserve">19.1 </w:t>
      </w:r>
      <w:r w:rsidRPr="00382A8B">
        <w:rPr>
          <w:rFonts w:ascii="Times New Roman" w:hAnsi="Times New Roman"/>
          <w:sz w:val="22"/>
          <w:szCs w:val="22"/>
        </w:rPr>
        <w:t>zeigt die wichtigsten Positionen der Währungsreserven der Deutschen Bundesbank, die nach einem einheitlichen Schema für alle Mitgliedstaaten des Internationalen Währungsfonds monatlich erstellt werden.</w:t>
      </w:r>
      <w:r w:rsidR="00D71154" w:rsidRPr="00382A8B">
        <w:rPr>
          <w:rFonts w:ascii="Times New Roman" w:hAnsi="Times New Roman"/>
          <w:sz w:val="22"/>
          <w:szCs w:val="22"/>
        </w:rPr>
        <w:t xml:space="preserve"> </w:t>
      </w:r>
      <w:r w:rsidR="00671206" w:rsidRPr="00382A8B">
        <w:rPr>
          <w:rStyle w:val="textnormal1"/>
          <w:rFonts w:ascii="Times New Roman" w:hAnsi="Times New Roman"/>
          <w:sz w:val="22"/>
          <w:szCs w:val="22"/>
        </w:rPr>
        <w:t xml:space="preserve">Die Währungsreserven sind Teil der Auslandsposition der Bundesbank (Auslandsvermögensstatus). </w:t>
      </w:r>
      <w:r w:rsidR="00701809" w:rsidRPr="00382A8B">
        <w:rPr>
          <w:rFonts w:ascii="Times New Roman" w:hAnsi="Times New Roman"/>
          <w:sz w:val="22"/>
          <w:szCs w:val="22"/>
        </w:rPr>
        <w:t xml:space="preserve">Bemerkenswert ist, dass sich der Bestand an Währungsreserven zwischen 2005 und 2020 mehr als verdreifacht hat. Dies ist zum wesentlichen Teil auf </w:t>
      </w:r>
      <w:r w:rsidR="00E90356" w:rsidRPr="00382A8B">
        <w:rPr>
          <w:rFonts w:ascii="Times New Roman" w:hAnsi="Times New Roman"/>
          <w:sz w:val="22"/>
          <w:szCs w:val="22"/>
        </w:rPr>
        <w:t>die Entwicklung des G</w:t>
      </w:r>
      <w:r w:rsidR="00215D5F" w:rsidRPr="00382A8B">
        <w:rPr>
          <w:rFonts w:ascii="Times New Roman" w:hAnsi="Times New Roman"/>
          <w:sz w:val="22"/>
          <w:szCs w:val="22"/>
        </w:rPr>
        <w:t>o</w:t>
      </w:r>
      <w:r w:rsidR="00E90356" w:rsidRPr="00382A8B">
        <w:rPr>
          <w:rFonts w:ascii="Times New Roman" w:hAnsi="Times New Roman"/>
          <w:sz w:val="22"/>
          <w:szCs w:val="22"/>
        </w:rPr>
        <w:t>ld</w:t>
      </w:r>
      <w:r w:rsidR="006B2204" w:rsidRPr="00382A8B">
        <w:rPr>
          <w:rFonts w:ascii="Times New Roman" w:hAnsi="Times New Roman"/>
          <w:sz w:val="22"/>
          <w:szCs w:val="22"/>
        </w:rPr>
        <w:t>kurses</w:t>
      </w:r>
      <w:r w:rsidR="00215D5F" w:rsidRPr="00382A8B">
        <w:rPr>
          <w:rFonts w:ascii="Times New Roman" w:hAnsi="Times New Roman"/>
          <w:sz w:val="22"/>
          <w:szCs w:val="22"/>
        </w:rPr>
        <w:t xml:space="preserve"> zurückzuführen. </w:t>
      </w:r>
      <w:r w:rsidR="0076743F" w:rsidRPr="00382A8B">
        <w:rPr>
          <w:rFonts w:ascii="Times New Roman" w:hAnsi="Times New Roman"/>
          <w:sz w:val="22"/>
          <w:szCs w:val="22"/>
        </w:rPr>
        <w:t xml:space="preserve">Der Goldpreis </w:t>
      </w:r>
      <w:r w:rsidR="00781BFD" w:rsidRPr="00382A8B">
        <w:rPr>
          <w:rFonts w:ascii="Times New Roman" w:hAnsi="Times New Roman"/>
          <w:sz w:val="22"/>
          <w:szCs w:val="22"/>
        </w:rPr>
        <w:t>stieg von</w:t>
      </w:r>
      <w:r w:rsidR="00F47800" w:rsidRPr="00382A8B">
        <w:rPr>
          <w:rFonts w:ascii="Times New Roman" w:hAnsi="Times New Roman"/>
          <w:sz w:val="22"/>
          <w:szCs w:val="22"/>
        </w:rPr>
        <w:t xml:space="preserve"> </w:t>
      </w:r>
      <w:r w:rsidR="0050000B" w:rsidRPr="00382A8B">
        <w:rPr>
          <w:rFonts w:ascii="Times New Roman" w:hAnsi="Times New Roman"/>
          <w:sz w:val="22"/>
          <w:szCs w:val="22"/>
        </w:rPr>
        <w:t xml:space="preserve">517 US-$ je </w:t>
      </w:r>
      <w:r w:rsidR="00960537" w:rsidRPr="00382A8B">
        <w:rPr>
          <w:rFonts w:ascii="Times New Roman" w:hAnsi="Times New Roman"/>
          <w:sz w:val="22"/>
          <w:szCs w:val="22"/>
        </w:rPr>
        <w:t xml:space="preserve">Unze im Jahr 2005 auf </w:t>
      </w:r>
      <w:r w:rsidR="000408A2" w:rsidRPr="00382A8B">
        <w:rPr>
          <w:rFonts w:ascii="Times New Roman" w:hAnsi="Times New Roman"/>
          <w:sz w:val="22"/>
          <w:szCs w:val="22"/>
        </w:rPr>
        <w:t>1897 US-$ je Unze im Jahr 2020.</w:t>
      </w:r>
      <w:r w:rsidR="00781BFD" w:rsidRPr="00382A8B">
        <w:rPr>
          <w:rFonts w:ascii="Times New Roman" w:hAnsi="Times New Roman"/>
          <w:sz w:val="22"/>
          <w:szCs w:val="22"/>
        </w:rPr>
        <w:t xml:space="preserve"> </w:t>
      </w:r>
    </w:p>
    <w:p w14:paraId="203AFDE1" w14:textId="4A0485DB" w:rsidR="009B482A" w:rsidRPr="00382A8B" w:rsidRDefault="009B482A" w:rsidP="009B482A">
      <w:pPr>
        <w:spacing w:line="300" w:lineRule="atLeast"/>
        <w:jc w:val="both"/>
        <w:rPr>
          <w:rFonts w:ascii="Times New Roman" w:hAnsi="Times New Roman"/>
          <w:i/>
          <w:sz w:val="22"/>
          <w:szCs w:val="22"/>
        </w:rPr>
      </w:pPr>
    </w:p>
    <w:p w14:paraId="7BE406EA" w14:textId="7048ACEE" w:rsidR="009B482A" w:rsidRPr="00382A8B" w:rsidRDefault="009B482A" w:rsidP="009B482A">
      <w:pPr>
        <w:pStyle w:val="StandardWeb"/>
        <w:spacing w:before="0" w:beforeAutospacing="0" w:after="0" w:afterAutospacing="0" w:line="223" w:lineRule="atLeast"/>
        <w:jc w:val="center"/>
        <w:rPr>
          <w:rFonts w:ascii="Times New Roman" w:hAnsi="Times New Roman"/>
          <w:i/>
          <w:sz w:val="22"/>
          <w:szCs w:val="22"/>
        </w:rPr>
      </w:pPr>
      <w:r w:rsidRPr="00382A8B">
        <w:rPr>
          <w:rFonts w:ascii="Times New Roman" w:hAnsi="Times New Roman"/>
          <w:i/>
          <w:sz w:val="22"/>
          <w:szCs w:val="22"/>
        </w:rPr>
        <w:t>Tab. E.19.1: Währungsreserven der Deutschen Bundesbank.</w:t>
      </w:r>
    </w:p>
    <w:p w14:paraId="75EA298E" w14:textId="77777777" w:rsidR="009B482A" w:rsidRPr="00382A8B" w:rsidRDefault="009B482A" w:rsidP="009B482A">
      <w:pPr>
        <w:pStyle w:val="StandardWeb"/>
        <w:spacing w:before="0" w:beforeAutospacing="0" w:after="120" w:afterAutospacing="0" w:line="223" w:lineRule="atLeast"/>
        <w:jc w:val="center"/>
        <w:rPr>
          <w:rFonts w:ascii="Times New Roman" w:hAnsi="Times New Roman"/>
          <w:i/>
          <w:sz w:val="22"/>
          <w:szCs w:val="22"/>
        </w:rPr>
      </w:pPr>
      <w:r w:rsidRPr="00382A8B">
        <w:rPr>
          <w:rFonts w:ascii="Times New Roman" w:hAnsi="Times New Roman"/>
          <w:i/>
          <w:sz w:val="22"/>
          <w:szCs w:val="22"/>
        </w:rPr>
        <w:t>Quelle: Zahlungsbilanzstatistik, Deutsche Bundesbank</w:t>
      </w:r>
    </w:p>
    <w:tbl>
      <w:tblPr>
        <w:tblStyle w:val="Tabellenraster"/>
        <w:tblW w:w="0" w:type="auto"/>
        <w:tblInd w:w="108" w:type="dxa"/>
        <w:tblLook w:val="01E0" w:firstRow="1" w:lastRow="1" w:firstColumn="1" w:lastColumn="1" w:noHBand="0" w:noVBand="0"/>
      </w:tblPr>
      <w:tblGrid>
        <w:gridCol w:w="6991"/>
        <w:gridCol w:w="977"/>
        <w:gridCol w:w="984"/>
      </w:tblGrid>
      <w:tr w:rsidR="00D71154" w:rsidRPr="00134215" w14:paraId="4B8D2909" w14:textId="77777777" w:rsidTr="00134215">
        <w:trPr>
          <w:trHeight w:val="454"/>
        </w:trPr>
        <w:tc>
          <w:tcPr>
            <w:tcW w:w="6991" w:type="dxa"/>
            <w:shd w:val="pct10" w:color="auto" w:fill="auto"/>
            <w:vAlign w:val="center"/>
          </w:tcPr>
          <w:p w14:paraId="0F8C3615" w14:textId="484D98D5" w:rsidR="00D71154" w:rsidRPr="00134215" w:rsidRDefault="00D71154" w:rsidP="00134215">
            <w:pPr>
              <w:pStyle w:val="StandardWeb"/>
              <w:spacing w:before="0" w:beforeAutospacing="0" w:after="0" w:afterAutospacing="0"/>
              <w:ind w:left="349" w:hanging="290"/>
              <w:rPr>
                <w:rFonts w:ascii="Arial" w:hAnsi="Arial" w:cs="Arial"/>
                <w:sz w:val="18"/>
                <w:szCs w:val="18"/>
              </w:rPr>
            </w:pPr>
            <w:r w:rsidRPr="00134215">
              <w:rPr>
                <w:rFonts w:ascii="Arial" w:hAnsi="Arial" w:cs="Arial"/>
                <w:sz w:val="18"/>
                <w:szCs w:val="18"/>
              </w:rPr>
              <w:t>Zusammensetzung der Währungsreserven der Deutschen Bundesbank</w:t>
            </w:r>
            <w:r w:rsidR="00E147A1" w:rsidRPr="00134215">
              <w:rPr>
                <w:rFonts w:ascii="Arial" w:hAnsi="Arial" w:cs="Arial"/>
                <w:sz w:val="18"/>
                <w:szCs w:val="18"/>
              </w:rPr>
              <w:t xml:space="preserve"> (in Mio. €)</w:t>
            </w:r>
          </w:p>
        </w:tc>
        <w:tc>
          <w:tcPr>
            <w:tcW w:w="977" w:type="dxa"/>
            <w:shd w:val="pct10" w:color="auto" w:fill="auto"/>
            <w:vAlign w:val="center"/>
          </w:tcPr>
          <w:p w14:paraId="3F495A2A" w14:textId="51E399C7" w:rsidR="00D71154" w:rsidRPr="00134215" w:rsidRDefault="00D71154" w:rsidP="004A1DA9">
            <w:pPr>
              <w:pStyle w:val="StandardWeb"/>
              <w:spacing w:before="0" w:beforeAutospacing="0" w:after="0" w:afterAutospacing="0"/>
              <w:jc w:val="right"/>
              <w:rPr>
                <w:rFonts w:ascii="Arial" w:hAnsi="Arial" w:cs="Arial"/>
                <w:b/>
                <w:sz w:val="18"/>
                <w:szCs w:val="18"/>
              </w:rPr>
            </w:pPr>
            <w:r w:rsidRPr="00134215">
              <w:rPr>
                <w:rFonts w:ascii="Arial" w:hAnsi="Arial" w:cs="Arial"/>
                <w:b/>
                <w:sz w:val="18"/>
                <w:szCs w:val="18"/>
              </w:rPr>
              <w:t>2005</w:t>
            </w:r>
          </w:p>
        </w:tc>
        <w:tc>
          <w:tcPr>
            <w:tcW w:w="984" w:type="dxa"/>
            <w:shd w:val="pct10" w:color="auto" w:fill="auto"/>
            <w:vAlign w:val="center"/>
          </w:tcPr>
          <w:p w14:paraId="11036D84" w14:textId="79FECE9D" w:rsidR="00D71154" w:rsidRPr="00134215" w:rsidRDefault="00D71154" w:rsidP="004A1DA9">
            <w:pPr>
              <w:pStyle w:val="StandardWeb"/>
              <w:spacing w:before="0" w:beforeAutospacing="0" w:after="0" w:afterAutospacing="0"/>
              <w:jc w:val="right"/>
              <w:rPr>
                <w:rFonts w:ascii="Arial" w:hAnsi="Arial" w:cs="Arial"/>
                <w:b/>
                <w:sz w:val="18"/>
                <w:szCs w:val="18"/>
              </w:rPr>
            </w:pPr>
            <w:r w:rsidRPr="00134215">
              <w:rPr>
                <w:rFonts w:ascii="Arial" w:hAnsi="Arial" w:cs="Arial"/>
                <w:b/>
                <w:sz w:val="18"/>
                <w:szCs w:val="18"/>
              </w:rPr>
              <w:t>2020</w:t>
            </w:r>
          </w:p>
        </w:tc>
      </w:tr>
      <w:tr w:rsidR="00D71154" w:rsidRPr="00134215" w14:paraId="4A6F9393" w14:textId="77777777" w:rsidTr="009B482A">
        <w:trPr>
          <w:trHeight w:val="567"/>
        </w:trPr>
        <w:tc>
          <w:tcPr>
            <w:tcW w:w="6991" w:type="dxa"/>
          </w:tcPr>
          <w:p w14:paraId="0F6A5BF8" w14:textId="77777777" w:rsidR="00D71154" w:rsidRPr="00134215" w:rsidRDefault="00D71154" w:rsidP="000F200E">
            <w:pPr>
              <w:pStyle w:val="StandardWeb"/>
              <w:numPr>
                <w:ilvl w:val="0"/>
                <w:numId w:val="2"/>
              </w:numPr>
              <w:spacing w:before="0" w:beforeAutospacing="0" w:after="0" w:afterAutospacing="0"/>
              <w:jc w:val="both"/>
              <w:rPr>
                <w:rFonts w:ascii="Arial" w:hAnsi="Arial" w:cs="Arial"/>
                <w:sz w:val="18"/>
                <w:szCs w:val="18"/>
              </w:rPr>
            </w:pPr>
            <w:r w:rsidRPr="00134215">
              <w:rPr>
                <w:rFonts w:ascii="Arial" w:hAnsi="Arial" w:cs="Arial"/>
                <w:sz w:val="18"/>
                <w:szCs w:val="18"/>
              </w:rPr>
              <w:t>Devisenreserven,</w:t>
            </w:r>
          </w:p>
          <w:p w14:paraId="5157FA68" w14:textId="23FCADF4" w:rsidR="00D71154" w:rsidRPr="00134215" w:rsidRDefault="00D71154" w:rsidP="00D71154">
            <w:pPr>
              <w:pStyle w:val="StandardWeb"/>
              <w:spacing w:before="0" w:beforeAutospacing="0" w:after="0" w:afterAutospacing="0"/>
              <w:ind w:left="720"/>
              <w:jc w:val="both"/>
              <w:rPr>
                <w:rFonts w:ascii="Arial" w:hAnsi="Arial" w:cs="Arial"/>
                <w:i/>
                <w:iCs/>
                <w:sz w:val="18"/>
                <w:szCs w:val="18"/>
              </w:rPr>
            </w:pPr>
            <w:r w:rsidRPr="00134215">
              <w:rPr>
                <w:rFonts w:ascii="Arial" w:hAnsi="Arial" w:cs="Arial"/>
                <w:i/>
                <w:iCs/>
                <w:sz w:val="18"/>
                <w:szCs w:val="18"/>
              </w:rPr>
              <w:t>darunter: Wertpapiere</w:t>
            </w:r>
          </w:p>
          <w:p w14:paraId="7223AEC6" w14:textId="77777777" w:rsidR="00D71154" w:rsidRPr="00134215" w:rsidRDefault="00D71154" w:rsidP="00D71154">
            <w:pPr>
              <w:pStyle w:val="StandardWeb"/>
              <w:spacing w:before="0" w:beforeAutospacing="0" w:after="0" w:afterAutospacing="0"/>
              <w:ind w:left="1592"/>
              <w:jc w:val="both"/>
              <w:rPr>
                <w:rFonts w:ascii="Arial" w:hAnsi="Arial" w:cs="Arial"/>
                <w:i/>
                <w:iCs/>
                <w:sz w:val="18"/>
                <w:szCs w:val="18"/>
              </w:rPr>
            </w:pPr>
            <w:r w:rsidRPr="00134215">
              <w:rPr>
                <w:rFonts w:ascii="Arial" w:hAnsi="Arial" w:cs="Arial"/>
                <w:i/>
                <w:iCs/>
                <w:sz w:val="18"/>
                <w:szCs w:val="18"/>
              </w:rPr>
              <w:t>Einlagen bei Währungsbehörden und Geschäftsbanken</w:t>
            </w:r>
          </w:p>
          <w:p w14:paraId="42F79757" w14:textId="0F776328" w:rsidR="00D71154" w:rsidRPr="00134215" w:rsidRDefault="00D71154" w:rsidP="00D71154">
            <w:pPr>
              <w:pStyle w:val="StandardWeb"/>
              <w:spacing w:before="0" w:beforeAutospacing="0" w:after="0" w:afterAutospacing="0"/>
              <w:ind w:left="1592"/>
              <w:jc w:val="both"/>
              <w:rPr>
                <w:rFonts w:ascii="Arial" w:hAnsi="Arial" w:cs="Arial"/>
                <w:sz w:val="18"/>
                <w:szCs w:val="18"/>
              </w:rPr>
            </w:pPr>
            <w:r w:rsidRPr="00134215">
              <w:rPr>
                <w:rFonts w:ascii="Arial" w:hAnsi="Arial" w:cs="Arial"/>
                <w:i/>
                <w:iCs/>
                <w:sz w:val="18"/>
                <w:szCs w:val="18"/>
              </w:rPr>
              <w:t>außerhalb der EWU</w:t>
            </w:r>
            <w:r w:rsidRPr="00134215">
              <w:rPr>
                <w:rFonts w:ascii="Arial" w:hAnsi="Arial" w:cs="Arial"/>
                <w:sz w:val="18"/>
                <w:szCs w:val="18"/>
              </w:rPr>
              <w:t xml:space="preserve"> </w:t>
            </w:r>
          </w:p>
        </w:tc>
        <w:tc>
          <w:tcPr>
            <w:tcW w:w="977" w:type="dxa"/>
          </w:tcPr>
          <w:p w14:paraId="7984EB4A" w14:textId="77777777" w:rsidR="00D71154" w:rsidRPr="00134215" w:rsidRDefault="00D71154" w:rsidP="000F200E">
            <w:pPr>
              <w:pStyle w:val="StandardWeb"/>
              <w:spacing w:before="0" w:beforeAutospacing="0" w:after="0" w:afterAutospacing="0"/>
              <w:jc w:val="right"/>
              <w:rPr>
                <w:rFonts w:ascii="Arial" w:hAnsi="Arial" w:cs="Arial"/>
                <w:bCs/>
                <w:sz w:val="18"/>
                <w:szCs w:val="18"/>
              </w:rPr>
            </w:pPr>
            <w:r w:rsidRPr="00134215">
              <w:rPr>
                <w:rFonts w:ascii="Arial" w:hAnsi="Arial" w:cs="Arial"/>
                <w:bCs/>
                <w:sz w:val="18"/>
                <w:szCs w:val="18"/>
              </w:rPr>
              <w:t>29.908</w:t>
            </w:r>
          </w:p>
          <w:p w14:paraId="55A29EE0" w14:textId="77777777" w:rsidR="00D71154" w:rsidRPr="00134215" w:rsidRDefault="00D71154" w:rsidP="000F200E">
            <w:pPr>
              <w:pStyle w:val="StandardWeb"/>
              <w:spacing w:before="0" w:beforeAutospacing="0" w:after="0" w:afterAutospacing="0"/>
              <w:jc w:val="right"/>
              <w:rPr>
                <w:rFonts w:ascii="Arial" w:hAnsi="Arial" w:cs="Arial"/>
                <w:bCs/>
                <w:i/>
                <w:iCs/>
                <w:sz w:val="18"/>
                <w:szCs w:val="18"/>
              </w:rPr>
            </w:pPr>
            <w:r w:rsidRPr="00134215">
              <w:rPr>
                <w:rFonts w:ascii="Arial" w:hAnsi="Arial" w:cs="Arial"/>
                <w:bCs/>
                <w:i/>
                <w:iCs/>
                <w:sz w:val="18"/>
                <w:szCs w:val="18"/>
              </w:rPr>
              <w:t>20.460</w:t>
            </w:r>
          </w:p>
          <w:p w14:paraId="488694FE" w14:textId="490218F5" w:rsidR="00D71154" w:rsidRPr="00134215" w:rsidRDefault="00D71154" w:rsidP="000F200E">
            <w:pPr>
              <w:pStyle w:val="StandardWeb"/>
              <w:spacing w:before="0" w:beforeAutospacing="0" w:after="0" w:afterAutospacing="0"/>
              <w:jc w:val="right"/>
              <w:rPr>
                <w:rFonts w:ascii="Arial" w:hAnsi="Arial" w:cs="Arial"/>
                <w:bCs/>
                <w:sz w:val="18"/>
                <w:szCs w:val="18"/>
              </w:rPr>
            </w:pPr>
            <w:r w:rsidRPr="00134215">
              <w:rPr>
                <w:rFonts w:ascii="Arial" w:hAnsi="Arial" w:cs="Arial"/>
                <w:bCs/>
                <w:i/>
                <w:iCs/>
                <w:sz w:val="18"/>
                <w:szCs w:val="18"/>
              </w:rPr>
              <w:t>9.448</w:t>
            </w:r>
          </w:p>
        </w:tc>
        <w:tc>
          <w:tcPr>
            <w:tcW w:w="984" w:type="dxa"/>
          </w:tcPr>
          <w:p w14:paraId="2F75C0D8" w14:textId="7C14E448" w:rsidR="00D71154" w:rsidRPr="00134215" w:rsidRDefault="00D71154" w:rsidP="000F200E">
            <w:pPr>
              <w:pStyle w:val="StandardWeb"/>
              <w:spacing w:before="0" w:beforeAutospacing="0" w:after="0" w:afterAutospacing="0"/>
              <w:jc w:val="right"/>
              <w:rPr>
                <w:rFonts w:ascii="Arial" w:hAnsi="Arial" w:cs="Arial"/>
                <w:bCs/>
                <w:sz w:val="18"/>
                <w:szCs w:val="18"/>
              </w:rPr>
            </w:pPr>
            <w:r w:rsidRPr="00134215">
              <w:rPr>
                <w:rFonts w:ascii="Arial" w:hAnsi="Arial" w:cs="Arial"/>
                <w:bCs/>
                <w:sz w:val="18"/>
                <w:szCs w:val="18"/>
              </w:rPr>
              <w:t>31.343</w:t>
            </w:r>
          </w:p>
          <w:p w14:paraId="5373E8F2" w14:textId="10221737" w:rsidR="00D71154" w:rsidRPr="00134215" w:rsidRDefault="00D71154" w:rsidP="000F200E">
            <w:pPr>
              <w:pStyle w:val="StandardWeb"/>
              <w:spacing w:before="0" w:beforeAutospacing="0" w:after="0" w:afterAutospacing="0"/>
              <w:jc w:val="right"/>
              <w:rPr>
                <w:rFonts w:ascii="Arial" w:hAnsi="Arial" w:cs="Arial"/>
                <w:bCs/>
                <w:i/>
                <w:iCs/>
                <w:sz w:val="18"/>
                <w:szCs w:val="18"/>
              </w:rPr>
            </w:pPr>
            <w:r w:rsidRPr="00134215">
              <w:rPr>
                <w:rFonts w:ascii="Arial" w:hAnsi="Arial" w:cs="Arial"/>
                <w:bCs/>
                <w:i/>
                <w:iCs/>
                <w:sz w:val="18"/>
                <w:szCs w:val="18"/>
              </w:rPr>
              <w:t>25.356</w:t>
            </w:r>
          </w:p>
          <w:p w14:paraId="20BC7AE3" w14:textId="4E5C7059" w:rsidR="00D71154" w:rsidRPr="00134215" w:rsidRDefault="00D71154" w:rsidP="000F200E">
            <w:pPr>
              <w:pStyle w:val="StandardWeb"/>
              <w:spacing w:before="0" w:beforeAutospacing="0" w:after="0" w:afterAutospacing="0"/>
              <w:jc w:val="right"/>
              <w:rPr>
                <w:rFonts w:ascii="Arial" w:hAnsi="Arial" w:cs="Arial"/>
                <w:bCs/>
                <w:i/>
                <w:iCs/>
                <w:sz w:val="18"/>
                <w:szCs w:val="18"/>
              </w:rPr>
            </w:pPr>
            <w:r w:rsidRPr="00134215">
              <w:rPr>
                <w:rFonts w:ascii="Arial" w:hAnsi="Arial" w:cs="Arial"/>
                <w:bCs/>
                <w:i/>
                <w:iCs/>
                <w:sz w:val="18"/>
                <w:szCs w:val="18"/>
              </w:rPr>
              <w:t>5.987</w:t>
            </w:r>
          </w:p>
          <w:p w14:paraId="79C30A50" w14:textId="23EB2689" w:rsidR="00D71154" w:rsidRPr="00134215" w:rsidRDefault="00D71154" w:rsidP="000F200E">
            <w:pPr>
              <w:pStyle w:val="StandardWeb"/>
              <w:spacing w:before="0" w:beforeAutospacing="0" w:after="0" w:afterAutospacing="0"/>
              <w:jc w:val="right"/>
              <w:rPr>
                <w:rFonts w:ascii="Arial" w:hAnsi="Arial" w:cs="Arial"/>
                <w:bCs/>
                <w:sz w:val="18"/>
                <w:szCs w:val="18"/>
              </w:rPr>
            </w:pPr>
          </w:p>
        </w:tc>
      </w:tr>
      <w:tr w:rsidR="00D71154" w:rsidRPr="00134215" w14:paraId="5F9A0230" w14:textId="77777777" w:rsidTr="00382A8B">
        <w:trPr>
          <w:trHeight w:val="454"/>
        </w:trPr>
        <w:tc>
          <w:tcPr>
            <w:tcW w:w="6991" w:type="dxa"/>
            <w:vAlign w:val="center"/>
          </w:tcPr>
          <w:p w14:paraId="357D59A0" w14:textId="77777777" w:rsidR="00D71154" w:rsidRPr="00134215" w:rsidRDefault="00D71154" w:rsidP="000F200E">
            <w:pPr>
              <w:pStyle w:val="StandardWeb"/>
              <w:spacing w:before="0" w:beforeAutospacing="0" w:after="0" w:afterAutospacing="0"/>
              <w:rPr>
                <w:rFonts w:ascii="Arial" w:hAnsi="Arial" w:cs="Arial"/>
                <w:sz w:val="18"/>
                <w:szCs w:val="18"/>
              </w:rPr>
            </w:pPr>
            <w:r w:rsidRPr="00134215">
              <w:rPr>
                <w:rFonts w:ascii="Arial" w:hAnsi="Arial" w:cs="Arial"/>
                <w:sz w:val="18"/>
                <w:szCs w:val="18"/>
              </w:rPr>
              <w:t xml:space="preserve">       2.   Reserveposition IWF</w:t>
            </w:r>
          </w:p>
        </w:tc>
        <w:tc>
          <w:tcPr>
            <w:tcW w:w="977" w:type="dxa"/>
            <w:vAlign w:val="center"/>
          </w:tcPr>
          <w:p w14:paraId="44B8DA84" w14:textId="13E79B7F"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4.979</w:t>
            </w:r>
          </w:p>
        </w:tc>
        <w:tc>
          <w:tcPr>
            <w:tcW w:w="984" w:type="dxa"/>
            <w:vAlign w:val="center"/>
          </w:tcPr>
          <w:p w14:paraId="24E42632" w14:textId="6E0EB168"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8.104</w:t>
            </w:r>
          </w:p>
        </w:tc>
      </w:tr>
      <w:tr w:rsidR="00D71154" w:rsidRPr="00134215" w14:paraId="583600B2" w14:textId="77777777" w:rsidTr="00382A8B">
        <w:trPr>
          <w:trHeight w:val="454"/>
        </w:trPr>
        <w:tc>
          <w:tcPr>
            <w:tcW w:w="6991" w:type="dxa"/>
            <w:vAlign w:val="center"/>
          </w:tcPr>
          <w:p w14:paraId="3252C3DB" w14:textId="77777777" w:rsidR="00D71154" w:rsidRPr="00134215" w:rsidRDefault="00D71154" w:rsidP="00D71154">
            <w:pPr>
              <w:pStyle w:val="StandardWeb"/>
              <w:spacing w:before="0" w:beforeAutospacing="0" w:after="0" w:afterAutospacing="0"/>
              <w:rPr>
                <w:rFonts w:ascii="Arial" w:hAnsi="Arial" w:cs="Arial"/>
                <w:sz w:val="18"/>
                <w:szCs w:val="18"/>
              </w:rPr>
            </w:pPr>
            <w:r w:rsidRPr="00134215">
              <w:rPr>
                <w:rFonts w:ascii="Arial" w:hAnsi="Arial" w:cs="Arial"/>
                <w:sz w:val="18"/>
                <w:szCs w:val="18"/>
              </w:rPr>
              <w:t xml:space="preserve">       3.   Sonderziehungsrechte</w:t>
            </w:r>
          </w:p>
        </w:tc>
        <w:tc>
          <w:tcPr>
            <w:tcW w:w="977" w:type="dxa"/>
            <w:vAlign w:val="center"/>
          </w:tcPr>
          <w:p w14:paraId="6387D2D4" w14:textId="726823C0"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1.558</w:t>
            </w:r>
          </w:p>
        </w:tc>
        <w:tc>
          <w:tcPr>
            <w:tcW w:w="984" w:type="dxa"/>
            <w:vAlign w:val="center"/>
          </w:tcPr>
          <w:p w14:paraId="2C3068EC" w14:textId="3002AD05"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14.345</w:t>
            </w:r>
          </w:p>
        </w:tc>
      </w:tr>
      <w:tr w:rsidR="00D71154" w:rsidRPr="00134215" w14:paraId="7A87C482" w14:textId="77777777" w:rsidTr="00382A8B">
        <w:trPr>
          <w:trHeight w:val="454"/>
        </w:trPr>
        <w:tc>
          <w:tcPr>
            <w:tcW w:w="6991" w:type="dxa"/>
            <w:vAlign w:val="center"/>
          </w:tcPr>
          <w:p w14:paraId="2AC59A23" w14:textId="77777777" w:rsidR="00D71154" w:rsidRPr="00134215" w:rsidRDefault="00D71154" w:rsidP="00D71154">
            <w:pPr>
              <w:pStyle w:val="StandardWeb"/>
              <w:spacing w:before="0" w:beforeAutospacing="0" w:after="0" w:afterAutospacing="0"/>
              <w:rPr>
                <w:rFonts w:ascii="Arial" w:hAnsi="Arial" w:cs="Arial"/>
                <w:sz w:val="18"/>
                <w:szCs w:val="18"/>
              </w:rPr>
            </w:pPr>
            <w:r w:rsidRPr="00134215">
              <w:rPr>
                <w:rFonts w:ascii="Arial" w:hAnsi="Arial" w:cs="Arial"/>
                <w:sz w:val="18"/>
                <w:szCs w:val="18"/>
              </w:rPr>
              <w:lastRenderedPageBreak/>
              <w:t xml:space="preserve">       4.   Gold und Goldforderungen</w:t>
            </w:r>
          </w:p>
        </w:tc>
        <w:tc>
          <w:tcPr>
            <w:tcW w:w="977" w:type="dxa"/>
            <w:vAlign w:val="center"/>
          </w:tcPr>
          <w:p w14:paraId="35B2A925" w14:textId="20307D8E"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36.348</w:t>
            </w:r>
          </w:p>
        </w:tc>
        <w:tc>
          <w:tcPr>
            <w:tcW w:w="984" w:type="dxa"/>
            <w:vAlign w:val="center"/>
          </w:tcPr>
          <w:p w14:paraId="79B6F2A6" w14:textId="1A669A39" w:rsidR="00D71154" w:rsidRPr="00134215" w:rsidRDefault="00D71154" w:rsidP="004A1DA9">
            <w:pPr>
              <w:pStyle w:val="StandardWeb"/>
              <w:spacing w:before="0" w:beforeAutospacing="0" w:after="0" w:afterAutospacing="0"/>
              <w:jc w:val="right"/>
              <w:rPr>
                <w:rFonts w:ascii="Arial" w:hAnsi="Arial" w:cs="Arial"/>
                <w:sz w:val="18"/>
                <w:szCs w:val="18"/>
              </w:rPr>
            </w:pPr>
            <w:r w:rsidRPr="00134215">
              <w:rPr>
                <w:rFonts w:ascii="Arial" w:hAnsi="Arial" w:cs="Arial"/>
                <w:sz w:val="18"/>
                <w:szCs w:val="18"/>
              </w:rPr>
              <w:t>165.984</w:t>
            </w:r>
          </w:p>
        </w:tc>
      </w:tr>
      <w:tr w:rsidR="00D71154" w:rsidRPr="00134215" w14:paraId="389FF9AE" w14:textId="77777777" w:rsidTr="00382A8B">
        <w:trPr>
          <w:trHeight w:val="454"/>
        </w:trPr>
        <w:tc>
          <w:tcPr>
            <w:tcW w:w="6991" w:type="dxa"/>
            <w:vAlign w:val="center"/>
          </w:tcPr>
          <w:p w14:paraId="458AB952" w14:textId="77777777" w:rsidR="00D71154" w:rsidRPr="00134215" w:rsidRDefault="00D71154" w:rsidP="00D71154">
            <w:pPr>
              <w:pStyle w:val="StandardWeb"/>
              <w:spacing w:before="0" w:beforeAutospacing="0" w:after="0" w:afterAutospacing="0"/>
              <w:rPr>
                <w:rFonts w:ascii="Arial" w:hAnsi="Arial" w:cs="Arial"/>
                <w:b/>
                <w:sz w:val="18"/>
                <w:szCs w:val="18"/>
              </w:rPr>
            </w:pPr>
            <w:r w:rsidRPr="00134215">
              <w:rPr>
                <w:rFonts w:ascii="Arial" w:hAnsi="Arial" w:cs="Arial"/>
                <w:b/>
                <w:sz w:val="18"/>
                <w:szCs w:val="18"/>
              </w:rPr>
              <w:t xml:space="preserve">             Insgesamt</w:t>
            </w:r>
          </w:p>
        </w:tc>
        <w:tc>
          <w:tcPr>
            <w:tcW w:w="977" w:type="dxa"/>
            <w:vAlign w:val="center"/>
          </w:tcPr>
          <w:p w14:paraId="52518385" w14:textId="7F4D6D59" w:rsidR="00D71154" w:rsidRPr="00134215" w:rsidRDefault="00D71154" w:rsidP="00D71154">
            <w:pPr>
              <w:pStyle w:val="StandardWeb"/>
              <w:spacing w:before="0" w:beforeAutospacing="0" w:after="0" w:afterAutospacing="0"/>
              <w:jc w:val="right"/>
              <w:rPr>
                <w:rFonts w:ascii="Arial" w:hAnsi="Arial" w:cs="Arial"/>
                <w:b/>
                <w:sz w:val="18"/>
                <w:szCs w:val="18"/>
              </w:rPr>
            </w:pPr>
            <w:r w:rsidRPr="00134215">
              <w:rPr>
                <w:rFonts w:ascii="Arial" w:hAnsi="Arial" w:cs="Arial"/>
                <w:b/>
                <w:sz w:val="18"/>
                <w:szCs w:val="18"/>
              </w:rPr>
              <w:t>72.794</w:t>
            </w:r>
          </w:p>
        </w:tc>
        <w:tc>
          <w:tcPr>
            <w:tcW w:w="984" w:type="dxa"/>
            <w:vAlign w:val="center"/>
          </w:tcPr>
          <w:p w14:paraId="75F44FA2" w14:textId="20BC8309" w:rsidR="00D71154" w:rsidRPr="00134215" w:rsidRDefault="00D71154" w:rsidP="00D71154">
            <w:pPr>
              <w:pStyle w:val="StandardWeb"/>
              <w:spacing w:before="0" w:beforeAutospacing="0" w:after="0" w:afterAutospacing="0"/>
              <w:jc w:val="right"/>
              <w:rPr>
                <w:rFonts w:ascii="Arial" w:hAnsi="Arial" w:cs="Arial"/>
                <w:b/>
                <w:sz w:val="18"/>
                <w:szCs w:val="18"/>
              </w:rPr>
            </w:pPr>
            <w:r w:rsidRPr="00134215">
              <w:rPr>
                <w:rFonts w:ascii="Arial" w:hAnsi="Arial" w:cs="Arial"/>
                <w:b/>
                <w:sz w:val="18"/>
                <w:szCs w:val="18"/>
              </w:rPr>
              <w:t>219.775</w:t>
            </w:r>
          </w:p>
        </w:tc>
      </w:tr>
    </w:tbl>
    <w:p w14:paraId="2E917AE6" w14:textId="0A860403" w:rsidR="00FF336A" w:rsidRPr="00382A8B" w:rsidRDefault="00FF336A" w:rsidP="00FF336A">
      <w:pPr>
        <w:spacing w:before="240" w:after="240" w:line="300" w:lineRule="atLeast"/>
        <w:jc w:val="both"/>
        <w:rPr>
          <w:rFonts w:ascii="Times New Roman" w:hAnsi="Times New Roman"/>
          <w:b/>
          <w:bCs w:val="0"/>
          <w:sz w:val="22"/>
          <w:szCs w:val="22"/>
        </w:rPr>
      </w:pPr>
      <w:r w:rsidRPr="00382A8B">
        <w:rPr>
          <w:rFonts w:ascii="Times New Roman" w:hAnsi="Times New Roman"/>
          <w:b/>
          <w:bCs w:val="0"/>
          <w:sz w:val="22"/>
          <w:szCs w:val="22"/>
        </w:rPr>
        <w:t xml:space="preserve">Gold als </w:t>
      </w:r>
      <w:r w:rsidR="00607D0D" w:rsidRPr="00382A8B">
        <w:rPr>
          <w:rFonts w:ascii="Times New Roman" w:hAnsi="Times New Roman"/>
          <w:b/>
          <w:bCs w:val="0"/>
          <w:sz w:val="22"/>
          <w:szCs w:val="22"/>
        </w:rPr>
        <w:t>Währungsr</w:t>
      </w:r>
      <w:r w:rsidRPr="00382A8B">
        <w:rPr>
          <w:rFonts w:ascii="Times New Roman" w:hAnsi="Times New Roman"/>
          <w:b/>
          <w:bCs w:val="0"/>
          <w:sz w:val="22"/>
          <w:szCs w:val="22"/>
        </w:rPr>
        <w:t>eserve</w:t>
      </w:r>
    </w:p>
    <w:p w14:paraId="24FC19B1" w14:textId="2A7CAE9F" w:rsidR="002D4302" w:rsidRPr="00382A8B" w:rsidRDefault="009A155D" w:rsidP="00BF1A7E">
      <w:pPr>
        <w:spacing w:after="60" w:line="300" w:lineRule="atLeast"/>
        <w:jc w:val="both"/>
        <w:rPr>
          <w:rFonts w:ascii="Times New Roman" w:hAnsi="Times New Roman"/>
          <w:color w:val="000000"/>
          <w:sz w:val="22"/>
          <w:szCs w:val="22"/>
        </w:rPr>
      </w:pPr>
      <w:r w:rsidRPr="00382A8B">
        <w:rPr>
          <w:rFonts w:ascii="Times New Roman" w:hAnsi="Times New Roman"/>
          <w:sz w:val="22"/>
          <w:szCs w:val="22"/>
        </w:rPr>
        <w:t xml:space="preserve">Trotzt des </w:t>
      </w:r>
      <w:r w:rsidR="0063728B" w:rsidRPr="00382A8B">
        <w:rPr>
          <w:rFonts w:ascii="Times New Roman" w:hAnsi="Times New Roman"/>
          <w:sz w:val="22"/>
          <w:szCs w:val="22"/>
        </w:rPr>
        <w:t>in den letzten Jahren gestiegenen</w:t>
      </w:r>
      <w:r w:rsidRPr="00382A8B">
        <w:rPr>
          <w:rFonts w:ascii="Times New Roman" w:hAnsi="Times New Roman"/>
          <w:sz w:val="22"/>
          <w:szCs w:val="22"/>
        </w:rPr>
        <w:t xml:space="preserve"> Goldwertes </w:t>
      </w:r>
      <w:r w:rsidR="00815A4D" w:rsidRPr="00382A8B">
        <w:rPr>
          <w:rFonts w:ascii="Times New Roman" w:hAnsi="Times New Roman"/>
          <w:sz w:val="22"/>
          <w:szCs w:val="22"/>
        </w:rPr>
        <w:t>spielt Gold s</w:t>
      </w:r>
      <w:r w:rsidR="0029021F" w:rsidRPr="00382A8B">
        <w:rPr>
          <w:rFonts w:ascii="Times New Roman" w:hAnsi="Times New Roman"/>
          <w:sz w:val="22"/>
          <w:szCs w:val="22"/>
        </w:rPr>
        <w:t>eit dem Zusammen</w:t>
      </w:r>
      <w:r w:rsidR="0077541F" w:rsidRPr="00382A8B">
        <w:rPr>
          <w:rFonts w:ascii="Times New Roman" w:hAnsi="Times New Roman"/>
          <w:sz w:val="22"/>
          <w:szCs w:val="22"/>
        </w:rPr>
        <w:t xml:space="preserve">bruch des Bretton-Wood-Systems </w:t>
      </w:r>
      <w:r w:rsidR="00F232AC" w:rsidRPr="00382A8B">
        <w:rPr>
          <w:rFonts w:ascii="Times New Roman" w:hAnsi="Times New Roman"/>
          <w:sz w:val="22"/>
          <w:szCs w:val="22"/>
        </w:rPr>
        <w:t>Anfang der 1970er Jahre</w:t>
      </w:r>
      <w:r w:rsidR="00D95000" w:rsidRPr="00382A8B">
        <w:rPr>
          <w:rFonts w:ascii="Times New Roman" w:hAnsi="Times New Roman"/>
          <w:sz w:val="22"/>
          <w:szCs w:val="22"/>
        </w:rPr>
        <w:t xml:space="preserve"> für die Deutsche Bundesbank zumindest als Reserve nur eine untergeordnete Rolle. </w:t>
      </w:r>
      <w:r w:rsidR="00606B9D" w:rsidRPr="00382A8B">
        <w:rPr>
          <w:rFonts w:ascii="Times New Roman" w:hAnsi="Times New Roman"/>
          <w:sz w:val="22"/>
          <w:szCs w:val="22"/>
        </w:rPr>
        <w:t>M</w:t>
      </w:r>
      <w:r w:rsidR="00EE79EB" w:rsidRPr="00382A8B">
        <w:rPr>
          <w:rFonts w:ascii="Times New Roman" w:hAnsi="Times New Roman"/>
          <w:sz w:val="22"/>
          <w:szCs w:val="22"/>
        </w:rPr>
        <w:t xml:space="preserve">it </w:t>
      </w:r>
      <w:r w:rsidR="00F6677E" w:rsidRPr="00382A8B">
        <w:rPr>
          <w:rFonts w:ascii="Times New Roman" w:hAnsi="Times New Roman"/>
          <w:sz w:val="22"/>
          <w:szCs w:val="22"/>
        </w:rPr>
        <w:t xml:space="preserve">der </w:t>
      </w:r>
      <w:r w:rsidR="00C0271A" w:rsidRPr="00382A8B">
        <w:rPr>
          <w:rFonts w:ascii="Times New Roman" w:hAnsi="Times New Roman"/>
          <w:sz w:val="22"/>
          <w:szCs w:val="22"/>
        </w:rPr>
        <w:t xml:space="preserve">Entscheidung seitens des damaligen </w:t>
      </w:r>
      <w:r w:rsidR="002F4865" w:rsidRPr="00382A8B">
        <w:rPr>
          <w:rFonts w:ascii="Times New Roman" w:hAnsi="Times New Roman"/>
          <w:sz w:val="22"/>
          <w:szCs w:val="22"/>
        </w:rPr>
        <w:t>US-Präsidenten</w:t>
      </w:r>
      <w:r w:rsidR="00C0271A" w:rsidRPr="00382A8B">
        <w:rPr>
          <w:rFonts w:ascii="Times New Roman" w:hAnsi="Times New Roman"/>
          <w:sz w:val="22"/>
          <w:szCs w:val="22"/>
        </w:rPr>
        <w:t xml:space="preserve"> Richard Nixon, die </w:t>
      </w:r>
      <w:r w:rsidR="00F52F30" w:rsidRPr="00382A8B">
        <w:rPr>
          <w:rFonts w:ascii="Times New Roman" w:hAnsi="Times New Roman"/>
          <w:sz w:val="22"/>
          <w:szCs w:val="22"/>
        </w:rPr>
        <w:t>dem Bretton-Wood-System unterliegende Gold-</w:t>
      </w:r>
      <w:r w:rsidR="00C0271A" w:rsidRPr="00382A8B">
        <w:rPr>
          <w:rFonts w:ascii="Times New Roman" w:hAnsi="Times New Roman"/>
          <w:sz w:val="22"/>
          <w:szCs w:val="22"/>
        </w:rPr>
        <w:t>Konvertibilität</w:t>
      </w:r>
      <w:r w:rsidR="00F52F30" w:rsidRPr="00382A8B">
        <w:rPr>
          <w:rFonts w:ascii="Times New Roman" w:hAnsi="Times New Roman"/>
          <w:sz w:val="22"/>
          <w:szCs w:val="22"/>
        </w:rPr>
        <w:t xml:space="preserve"> zu beenden,</w:t>
      </w:r>
      <w:r w:rsidR="00C0271A" w:rsidRPr="00382A8B">
        <w:rPr>
          <w:rFonts w:ascii="Times New Roman" w:hAnsi="Times New Roman"/>
          <w:sz w:val="22"/>
          <w:szCs w:val="22"/>
        </w:rPr>
        <w:t xml:space="preserve"> </w:t>
      </w:r>
      <w:r w:rsidR="00D95000" w:rsidRPr="00382A8B">
        <w:rPr>
          <w:rFonts w:ascii="Times New Roman" w:hAnsi="Times New Roman"/>
          <w:color w:val="000000"/>
          <w:sz w:val="22"/>
          <w:szCs w:val="22"/>
        </w:rPr>
        <w:t xml:space="preserve">entledigten sich </w:t>
      </w:r>
      <w:r w:rsidR="002F4865" w:rsidRPr="00382A8B">
        <w:rPr>
          <w:rFonts w:ascii="Times New Roman" w:hAnsi="Times New Roman"/>
          <w:color w:val="000000"/>
          <w:sz w:val="22"/>
          <w:szCs w:val="22"/>
        </w:rPr>
        <w:t xml:space="preserve">die USA </w:t>
      </w:r>
      <w:r w:rsidR="00D95000" w:rsidRPr="00382A8B">
        <w:rPr>
          <w:rFonts w:ascii="Times New Roman" w:hAnsi="Times New Roman"/>
          <w:color w:val="000000"/>
          <w:sz w:val="22"/>
          <w:szCs w:val="22"/>
        </w:rPr>
        <w:t xml:space="preserve">ihrer Verpflichtung, jederzeit US-Dollar zu einem festen Kurs gegen Gold einzutauschen. </w:t>
      </w:r>
      <w:r w:rsidR="00E06132" w:rsidRPr="00382A8B">
        <w:rPr>
          <w:rFonts w:ascii="Times New Roman" w:hAnsi="Times New Roman"/>
          <w:color w:val="000000"/>
          <w:sz w:val="22"/>
          <w:szCs w:val="22"/>
        </w:rPr>
        <w:t>Seither verlor Gold an Bedeutung als Währungsreserve.</w:t>
      </w:r>
    </w:p>
    <w:p w14:paraId="7CA799CF" w14:textId="77777777" w:rsidR="00637AD4" w:rsidRPr="00382A8B" w:rsidRDefault="00621CBA" w:rsidP="00C2520C">
      <w:pPr>
        <w:spacing w:after="60" w:line="300" w:lineRule="atLeast"/>
        <w:jc w:val="both"/>
        <w:rPr>
          <w:rFonts w:ascii="Times New Roman" w:hAnsi="Times New Roman"/>
          <w:color w:val="000000"/>
          <w:sz w:val="22"/>
          <w:szCs w:val="22"/>
        </w:rPr>
      </w:pPr>
      <w:r w:rsidRPr="00382A8B">
        <w:rPr>
          <w:rFonts w:ascii="Times New Roman" w:hAnsi="Times New Roman"/>
          <w:color w:val="000000"/>
          <w:sz w:val="22"/>
          <w:szCs w:val="22"/>
        </w:rPr>
        <w:t>Dennoch</w:t>
      </w:r>
      <w:r w:rsidR="00604A8F" w:rsidRPr="00382A8B">
        <w:rPr>
          <w:rFonts w:ascii="Times New Roman" w:hAnsi="Times New Roman"/>
          <w:color w:val="000000"/>
          <w:sz w:val="22"/>
          <w:szCs w:val="22"/>
        </w:rPr>
        <w:t xml:space="preserve"> </w:t>
      </w:r>
      <w:r w:rsidR="00A73CDC" w:rsidRPr="00382A8B">
        <w:rPr>
          <w:rFonts w:ascii="Times New Roman" w:hAnsi="Times New Roman"/>
          <w:color w:val="000000"/>
          <w:sz w:val="22"/>
          <w:szCs w:val="22"/>
        </w:rPr>
        <w:t xml:space="preserve">sind die Goldreserven der Deutschen Bundesbank seit </w:t>
      </w:r>
      <w:r w:rsidR="00E51BA4" w:rsidRPr="00382A8B">
        <w:rPr>
          <w:rFonts w:ascii="Times New Roman" w:hAnsi="Times New Roman"/>
          <w:color w:val="000000"/>
          <w:sz w:val="22"/>
          <w:szCs w:val="22"/>
        </w:rPr>
        <w:t>der 1960er Jahr</w:t>
      </w:r>
      <w:r w:rsidR="00D33146" w:rsidRPr="00382A8B">
        <w:rPr>
          <w:rFonts w:ascii="Times New Roman" w:hAnsi="Times New Roman"/>
          <w:color w:val="000000"/>
          <w:sz w:val="22"/>
          <w:szCs w:val="22"/>
        </w:rPr>
        <w:t>e</w:t>
      </w:r>
      <w:r w:rsidR="00E51BA4" w:rsidRPr="00382A8B">
        <w:rPr>
          <w:rFonts w:ascii="Times New Roman" w:hAnsi="Times New Roman"/>
          <w:color w:val="000000"/>
          <w:sz w:val="22"/>
          <w:szCs w:val="22"/>
        </w:rPr>
        <w:t xml:space="preserve"> die zweitgrößten der Welt</w:t>
      </w:r>
      <w:r w:rsidR="0070567A" w:rsidRPr="00382A8B">
        <w:rPr>
          <w:rFonts w:ascii="Times New Roman" w:hAnsi="Times New Roman"/>
          <w:color w:val="000000"/>
          <w:sz w:val="22"/>
          <w:szCs w:val="22"/>
        </w:rPr>
        <w:t xml:space="preserve"> </w:t>
      </w:r>
      <w:r w:rsidR="002D4302" w:rsidRPr="00382A8B">
        <w:rPr>
          <w:rFonts w:ascii="Times New Roman" w:hAnsi="Times New Roman"/>
          <w:color w:val="000000"/>
          <w:sz w:val="22"/>
          <w:szCs w:val="22"/>
        </w:rPr>
        <w:t>(nur die Vereinigten Staaten halten noch</w:t>
      </w:r>
      <w:r w:rsidR="00151494" w:rsidRPr="00382A8B">
        <w:rPr>
          <w:rFonts w:ascii="Times New Roman" w:hAnsi="Times New Roman"/>
          <w:color w:val="000000"/>
          <w:sz w:val="22"/>
          <w:szCs w:val="22"/>
        </w:rPr>
        <w:t xml:space="preserve"> größere Goldbestände</w:t>
      </w:r>
      <w:r w:rsidR="00187BDD" w:rsidRPr="00382A8B">
        <w:rPr>
          <w:rFonts w:ascii="Times New Roman" w:hAnsi="Times New Roman"/>
          <w:color w:val="000000"/>
          <w:sz w:val="22"/>
          <w:szCs w:val="22"/>
        </w:rPr>
        <w:t>)</w:t>
      </w:r>
      <w:r w:rsidR="00151494" w:rsidRPr="00382A8B">
        <w:rPr>
          <w:rFonts w:ascii="Times New Roman" w:hAnsi="Times New Roman"/>
          <w:color w:val="000000"/>
          <w:sz w:val="22"/>
          <w:szCs w:val="22"/>
        </w:rPr>
        <w:t>.</w:t>
      </w:r>
      <w:r w:rsidR="002D4302" w:rsidRPr="00382A8B">
        <w:rPr>
          <w:rFonts w:ascii="Times New Roman" w:hAnsi="Times New Roman"/>
          <w:color w:val="000000"/>
          <w:sz w:val="22"/>
          <w:szCs w:val="22"/>
        </w:rPr>
        <w:t xml:space="preserve"> </w:t>
      </w:r>
      <w:r w:rsidR="00C22409" w:rsidRPr="00382A8B">
        <w:rPr>
          <w:rFonts w:ascii="Times New Roman" w:hAnsi="Times New Roman"/>
          <w:color w:val="000000"/>
          <w:sz w:val="22"/>
          <w:szCs w:val="22"/>
        </w:rPr>
        <w:t>Auch durch d</w:t>
      </w:r>
      <w:r w:rsidR="006455DD" w:rsidRPr="00382A8B">
        <w:rPr>
          <w:rFonts w:ascii="Times New Roman" w:hAnsi="Times New Roman"/>
          <w:color w:val="000000"/>
          <w:sz w:val="22"/>
          <w:szCs w:val="22"/>
        </w:rPr>
        <w:t>en starken Anstieg des Goldpreises in den letzten Jahrze</w:t>
      </w:r>
      <w:r w:rsidR="00E2385C" w:rsidRPr="00382A8B">
        <w:rPr>
          <w:rFonts w:ascii="Times New Roman" w:hAnsi="Times New Roman"/>
          <w:color w:val="000000"/>
          <w:sz w:val="22"/>
          <w:szCs w:val="22"/>
        </w:rPr>
        <w:t xml:space="preserve">hnten ist der wertmäßige Anteil Gold an den Währungsreserven </w:t>
      </w:r>
      <w:r w:rsidR="00246F63" w:rsidRPr="00382A8B">
        <w:rPr>
          <w:rFonts w:ascii="Times New Roman" w:hAnsi="Times New Roman"/>
          <w:color w:val="000000"/>
          <w:sz w:val="22"/>
          <w:szCs w:val="22"/>
        </w:rPr>
        <w:t xml:space="preserve">der Bundesbank nach wie vor nicht vernachlässigbar. Er liegt </w:t>
      </w:r>
      <w:r w:rsidR="00BF1A7E" w:rsidRPr="00382A8B">
        <w:rPr>
          <w:rFonts w:ascii="Times New Roman" w:hAnsi="Times New Roman"/>
          <w:color w:val="000000"/>
          <w:sz w:val="22"/>
          <w:szCs w:val="22"/>
        </w:rPr>
        <w:t>aktuell (Stand Beginn 2023) bei 66 Prozent, während der im Jahr 1972 bei lediglich 30 Prozent lag.</w:t>
      </w:r>
    </w:p>
    <w:p w14:paraId="51FC001D" w14:textId="570E3C8E" w:rsidR="00BF1A7E" w:rsidRPr="00382A8B" w:rsidRDefault="00637AD4" w:rsidP="00C2520C">
      <w:pPr>
        <w:spacing w:after="60" w:line="300" w:lineRule="atLeast"/>
        <w:jc w:val="both"/>
        <w:rPr>
          <w:rFonts w:ascii="Times New Roman" w:hAnsi="Times New Roman"/>
          <w:color w:val="000000"/>
          <w:sz w:val="22"/>
          <w:szCs w:val="22"/>
        </w:rPr>
      </w:pPr>
      <w:r w:rsidRPr="00382A8B">
        <w:rPr>
          <w:rFonts w:ascii="Times New Roman" w:hAnsi="Times New Roman"/>
          <w:color w:val="000000"/>
          <w:sz w:val="22"/>
          <w:szCs w:val="22"/>
        </w:rPr>
        <w:t xml:space="preserve">Immer wieder </w:t>
      </w:r>
      <w:r w:rsidR="00163C84" w:rsidRPr="00382A8B">
        <w:rPr>
          <w:rFonts w:ascii="Times New Roman" w:hAnsi="Times New Roman"/>
          <w:color w:val="000000"/>
          <w:sz w:val="22"/>
          <w:szCs w:val="22"/>
        </w:rPr>
        <w:t>wird die Frage diskutiert</w:t>
      </w:r>
      <w:r w:rsidRPr="00382A8B">
        <w:rPr>
          <w:rFonts w:ascii="Times New Roman" w:hAnsi="Times New Roman"/>
          <w:color w:val="000000"/>
          <w:sz w:val="22"/>
          <w:szCs w:val="22"/>
        </w:rPr>
        <w:t xml:space="preserve">, ob das Halten von Goldbeständen sinnvoll sei, da es keine Erträge </w:t>
      </w:r>
      <w:r w:rsidR="00807E8A" w:rsidRPr="00382A8B">
        <w:rPr>
          <w:rFonts w:ascii="Times New Roman" w:hAnsi="Times New Roman"/>
          <w:color w:val="000000"/>
          <w:sz w:val="22"/>
          <w:szCs w:val="22"/>
        </w:rPr>
        <w:t xml:space="preserve">(Rendite, wie z. B. bei Aktien) </w:t>
      </w:r>
      <w:r w:rsidRPr="00382A8B">
        <w:rPr>
          <w:rFonts w:ascii="Times New Roman" w:hAnsi="Times New Roman"/>
          <w:color w:val="000000"/>
          <w:sz w:val="22"/>
          <w:szCs w:val="22"/>
        </w:rPr>
        <w:t xml:space="preserve">abwerfe. </w:t>
      </w:r>
      <w:r w:rsidR="008D2A7A" w:rsidRPr="00382A8B">
        <w:rPr>
          <w:rFonts w:ascii="Times New Roman" w:hAnsi="Times New Roman"/>
          <w:color w:val="000000"/>
          <w:sz w:val="22"/>
          <w:szCs w:val="22"/>
        </w:rPr>
        <w:t>In der Beurteilung der Deutschen</w:t>
      </w:r>
      <w:r w:rsidRPr="00382A8B">
        <w:rPr>
          <w:rFonts w:ascii="Times New Roman" w:hAnsi="Times New Roman"/>
          <w:color w:val="000000"/>
          <w:sz w:val="22"/>
          <w:szCs w:val="22"/>
        </w:rPr>
        <w:t xml:space="preserve"> Bundesbank </w:t>
      </w:r>
      <w:r w:rsidR="008D2A7A" w:rsidRPr="00382A8B">
        <w:rPr>
          <w:rFonts w:ascii="Times New Roman" w:hAnsi="Times New Roman"/>
          <w:color w:val="000000"/>
          <w:sz w:val="22"/>
          <w:szCs w:val="22"/>
        </w:rPr>
        <w:t xml:space="preserve">ergibt sich die Sinnmäßigkeit </w:t>
      </w:r>
      <w:r w:rsidR="00F12123" w:rsidRPr="00382A8B">
        <w:rPr>
          <w:rFonts w:ascii="Times New Roman" w:hAnsi="Times New Roman"/>
          <w:color w:val="000000"/>
          <w:sz w:val="22"/>
          <w:szCs w:val="22"/>
        </w:rPr>
        <w:t>daraus, das</w:t>
      </w:r>
      <w:r w:rsidRPr="00382A8B">
        <w:rPr>
          <w:rFonts w:ascii="Times New Roman" w:hAnsi="Times New Roman"/>
          <w:color w:val="000000"/>
          <w:sz w:val="22"/>
          <w:szCs w:val="22"/>
        </w:rPr>
        <w:t xml:space="preserve"> Gold ein </w:t>
      </w:r>
      <w:r w:rsidRPr="00382A8B">
        <w:rPr>
          <w:rFonts w:ascii="Times New Roman" w:hAnsi="Times New Roman"/>
          <w:b/>
          <w:bCs w:val="0"/>
          <w:color w:val="000000"/>
          <w:sz w:val="22"/>
          <w:szCs w:val="22"/>
        </w:rPr>
        <w:t>Sachwert</w:t>
      </w:r>
      <w:r w:rsidR="00F12123" w:rsidRPr="00382A8B">
        <w:rPr>
          <w:rFonts w:ascii="Times New Roman" w:hAnsi="Times New Roman"/>
          <w:color w:val="000000"/>
          <w:sz w:val="22"/>
          <w:szCs w:val="22"/>
        </w:rPr>
        <w:t xml:space="preserve"> ist</w:t>
      </w:r>
      <w:r w:rsidRPr="00382A8B">
        <w:rPr>
          <w:rFonts w:ascii="Times New Roman" w:hAnsi="Times New Roman"/>
          <w:color w:val="000000"/>
          <w:sz w:val="22"/>
          <w:szCs w:val="22"/>
        </w:rPr>
        <w:t xml:space="preserve">, der weltweit akzeptiert ist. </w:t>
      </w:r>
      <w:r w:rsidR="00E64E15" w:rsidRPr="00382A8B">
        <w:rPr>
          <w:rFonts w:ascii="Times New Roman" w:hAnsi="Times New Roman"/>
          <w:color w:val="000000"/>
          <w:sz w:val="22"/>
          <w:szCs w:val="22"/>
        </w:rPr>
        <w:t>Darüber hinaus gilt d</w:t>
      </w:r>
      <w:r w:rsidRPr="00382A8B">
        <w:rPr>
          <w:rFonts w:ascii="Times New Roman" w:hAnsi="Times New Roman"/>
          <w:color w:val="000000"/>
          <w:sz w:val="22"/>
          <w:szCs w:val="22"/>
        </w:rPr>
        <w:t xml:space="preserve">as Gold </w:t>
      </w:r>
      <w:r w:rsidR="00E64E15" w:rsidRPr="00382A8B">
        <w:rPr>
          <w:rFonts w:ascii="Times New Roman" w:hAnsi="Times New Roman"/>
          <w:color w:val="000000"/>
          <w:sz w:val="22"/>
          <w:szCs w:val="22"/>
        </w:rPr>
        <w:t>in den Beständen einer</w:t>
      </w:r>
      <w:r w:rsidRPr="00382A8B">
        <w:rPr>
          <w:rFonts w:ascii="Times New Roman" w:hAnsi="Times New Roman"/>
          <w:color w:val="000000"/>
          <w:sz w:val="22"/>
          <w:szCs w:val="22"/>
        </w:rPr>
        <w:t xml:space="preserve"> Notenbank</w:t>
      </w:r>
      <w:r w:rsidR="00E64E15" w:rsidRPr="00382A8B">
        <w:rPr>
          <w:rFonts w:ascii="Times New Roman" w:hAnsi="Times New Roman"/>
          <w:color w:val="000000"/>
          <w:sz w:val="22"/>
          <w:szCs w:val="22"/>
        </w:rPr>
        <w:t xml:space="preserve"> als</w:t>
      </w:r>
      <w:r w:rsidRPr="00382A8B">
        <w:rPr>
          <w:rFonts w:ascii="Times New Roman" w:hAnsi="Times New Roman"/>
          <w:color w:val="000000"/>
          <w:sz w:val="22"/>
          <w:szCs w:val="22"/>
        </w:rPr>
        <w:t xml:space="preserve"> </w:t>
      </w:r>
      <w:r w:rsidRPr="00382A8B">
        <w:rPr>
          <w:rFonts w:ascii="Times New Roman" w:hAnsi="Times New Roman"/>
          <w:b/>
          <w:bCs w:val="0"/>
          <w:color w:val="000000"/>
          <w:sz w:val="22"/>
          <w:szCs w:val="22"/>
        </w:rPr>
        <w:t>Vertrauensanker</w:t>
      </w:r>
      <w:r w:rsidRPr="00382A8B">
        <w:rPr>
          <w:rFonts w:ascii="Times New Roman" w:hAnsi="Times New Roman"/>
          <w:color w:val="000000"/>
          <w:sz w:val="22"/>
          <w:szCs w:val="22"/>
        </w:rPr>
        <w:t xml:space="preserve"> für die Werthaltigkeit der Bilanz</w:t>
      </w:r>
      <w:r w:rsidR="00E64E15" w:rsidRPr="00382A8B">
        <w:rPr>
          <w:rFonts w:ascii="Times New Roman" w:hAnsi="Times New Roman"/>
          <w:color w:val="000000"/>
          <w:sz w:val="22"/>
          <w:szCs w:val="22"/>
        </w:rPr>
        <w:t>. A</w:t>
      </w:r>
      <w:r w:rsidR="00581F25" w:rsidRPr="00382A8B">
        <w:rPr>
          <w:rFonts w:ascii="Times New Roman" w:hAnsi="Times New Roman"/>
          <w:color w:val="000000"/>
          <w:sz w:val="22"/>
          <w:szCs w:val="22"/>
        </w:rPr>
        <w:t>uch</w:t>
      </w:r>
      <w:r w:rsidRPr="00382A8B">
        <w:rPr>
          <w:rFonts w:ascii="Times New Roman" w:hAnsi="Times New Roman"/>
          <w:color w:val="000000"/>
          <w:sz w:val="22"/>
          <w:szCs w:val="22"/>
        </w:rPr>
        <w:t xml:space="preserve"> für die Bevölkerung </w:t>
      </w:r>
      <w:r w:rsidR="00581F25" w:rsidRPr="00382A8B">
        <w:rPr>
          <w:rFonts w:ascii="Times New Roman" w:hAnsi="Times New Roman"/>
          <w:color w:val="000000"/>
          <w:sz w:val="22"/>
          <w:szCs w:val="22"/>
        </w:rPr>
        <w:t xml:space="preserve">hat Gold </w:t>
      </w:r>
      <w:r w:rsidRPr="00382A8B">
        <w:rPr>
          <w:rFonts w:ascii="Times New Roman" w:hAnsi="Times New Roman"/>
          <w:color w:val="000000"/>
          <w:sz w:val="22"/>
          <w:szCs w:val="22"/>
        </w:rPr>
        <w:t xml:space="preserve">einen hohen Symbolwert. Gold zu </w:t>
      </w:r>
      <w:r w:rsidR="00393457" w:rsidRPr="00382A8B">
        <w:rPr>
          <w:rFonts w:ascii="Times New Roman" w:hAnsi="Times New Roman"/>
          <w:color w:val="000000"/>
          <w:sz w:val="22"/>
          <w:szCs w:val="22"/>
        </w:rPr>
        <w:t>halten,</w:t>
      </w:r>
      <w:r w:rsidRPr="00382A8B">
        <w:rPr>
          <w:rFonts w:ascii="Times New Roman" w:hAnsi="Times New Roman"/>
          <w:color w:val="000000"/>
          <w:sz w:val="22"/>
          <w:szCs w:val="22"/>
        </w:rPr>
        <w:t xml:space="preserve"> schafft also Vertrauen</w:t>
      </w:r>
      <w:r w:rsidR="00581F25" w:rsidRPr="00382A8B">
        <w:rPr>
          <w:rFonts w:ascii="Times New Roman" w:hAnsi="Times New Roman"/>
          <w:color w:val="000000"/>
          <w:sz w:val="22"/>
          <w:szCs w:val="22"/>
        </w:rPr>
        <w:t>, welches für eine Notenbank von zentralen Bedeutung ist</w:t>
      </w:r>
      <w:r w:rsidRPr="00382A8B">
        <w:rPr>
          <w:rFonts w:ascii="Times New Roman" w:hAnsi="Times New Roman"/>
          <w:color w:val="000000"/>
          <w:sz w:val="22"/>
          <w:szCs w:val="22"/>
        </w:rPr>
        <w:t>. Gold ist außerdem frei von Adressenausfallrisiken und bietet somit eine</w:t>
      </w:r>
      <w:r w:rsidR="00393457" w:rsidRPr="00382A8B">
        <w:rPr>
          <w:rFonts w:ascii="Times New Roman" w:hAnsi="Times New Roman"/>
          <w:color w:val="000000"/>
          <w:sz w:val="22"/>
          <w:szCs w:val="22"/>
        </w:rPr>
        <w:t xml:space="preserve">n robusten Schutz und Wertabsicherung </w:t>
      </w:r>
      <w:r w:rsidRPr="00382A8B">
        <w:rPr>
          <w:rFonts w:ascii="Times New Roman" w:hAnsi="Times New Roman"/>
          <w:color w:val="000000"/>
          <w:sz w:val="22"/>
          <w:szCs w:val="22"/>
        </w:rPr>
        <w:t>gegen Schocks.</w:t>
      </w:r>
      <w:r w:rsidR="00BF1A7E" w:rsidRPr="00382A8B">
        <w:rPr>
          <w:rFonts w:ascii="Times New Roman" w:hAnsi="Times New Roman"/>
          <w:color w:val="000000"/>
          <w:sz w:val="22"/>
          <w:szCs w:val="22"/>
        </w:rPr>
        <w:t xml:space="preserve"> </w:t>
      </w:r>
    </w:p>
    <w:p w14:paraId="4CB9943D" w14:textId="0F0F1DEF" w:rsidR="0029021F" w:rsidRPr="00382A8B" w:rsidRDefault="00187BDD" w:rsidP="0029021F">
      <w:pPr>
        <w:spacing w:line="300" w:lineRule="atLeast"/>
        <w:jc w:val="both"/>
        <w:rPr>
          <w:rFonts w:ascii="Times New Roman" w:hAnsi="Times New Roman"/>
          <w:sz w:val="22"/>
          <w:szCs w:val="22"/>
        </w:rPr>
      </w:pPr>
      <w:r w:rsidRPr="00382A8B">
        <w:rPr>
          <w:rFonts w:ascii="Times New Roman" w:hAnsi="Times New Roman"/>
          <w:color w:val="000000"/>
          <w:sz w:val="22"/>
          <w:szCs w:val="22"/>
        </w:rPr>
        <w:t xml:space="preserve">Jahrelang </w:t>
      </w:r>
      <w:r w:rsidR="00DA30E4" w:rsidRPr="00382A8B">
        <w:rPr>
          <w:rFonts w:ascii="Times New Roman" w:hAnsi="Times New Roman"/>
          <w:color w:val="000000"/>
          <w:sz w:val="22"/>
          <w:szCs w:val="22"/>
        </w:rPr>
        <w:t>lag</w:t>
      </w:r>
      <w:r w:rsidR="005D2137" w:rsidRPr="00382A8B">
        <w:rPr>
          <w:rFonts w:ascii="Times New Roman" w:hAnsi="Times New Roman"/>
          <w:color w:val="000000"/>
          <w:sz w:val="22"/>
          <w:szCs w:val="22"/>
        </w:rPr>
        <w:t xml:space="preserve"> ein Großteil des Goldes</w:t>
      </w:r>
      <w:r w:rsidR="00262291" w:rsidRPr="00382A8B">
        <w:rPr>
          <w:rFonts w:ascii="Times New Roman" w:hAnsi="Times New Roman"/>
          <w:color w:val="000000"/>
          <w:sz w:val="22"/>
          <w:szCs w:val="22"/>
        </w:rPr>
        <w:t xml:space="preserve"> im Ausland</w:t>
      </w:r>
      <w:r w:rsidR="000F0DF4" w:rsidRPr="00382A8B">
        <w:rPr>
          <w:rFonts w:ascii="Times New Roman" w:hAnsi="Times New Roman"/>
          <w:color w:val="000000"/>
          <w:sz w:val="22"/>
          <w:szCs w:val="22"/>
        </w:rPr>
        <w:t xml:space="preserve">, bei der Federal Reserve Bank in New York, bei der Bank </w:t>
      </w:r>
      <w:proofErr w:type="spellStart"/>
      <w:r w:rsidR="000F0DF4" w:rsidRPr="00382A8B">
        <w:rPr>
          <w:rFonts w:ascii="Times New Roman" w:hAnsi="Times New Roman"/>
          <w:color w:val="000000"/>
          <w:sz w:val="22"/>
          <w:szCs w:val="22"/>
        </w:rPr>
        <w:t>of</w:t>
      </w:r>
      <w:proofErr w:type="spellEnd"/>
      <w:r w:rsidR="000F0DF4" w:rsidRPr="00382A8B">
        <w:rPr>
          <w:rFonts w:ascii="Times New Roman" w:hAnsi="Times New Roman"/>
          <w:color w:val="000000"/>
          <w:sz w:val="22"/>
          <w:szCs w:val="22"/>
        </w:rPr>
        <w:t xml:space="preserve"> England in London und bei der Banque de France in Paris</w:t>
      </w:r>
      <w:r w:rsidR="00095ACD" w:rsidRPr="00382A8B">
        <w:rPr>
          <w:rFonts w:ascii="Times New Roman" w:hAnsi="Times New Roman"/>
          <w:color w:val="000000"/>
          <w:sz w:val="22"/>
          <w:szCs w:val="22"/>
        </w:rPr>
        <w:t>.</w:t>
      </w:r>
      <w:r w:rsidR="00621CBA" w:rsidRPr="00382A8B">
        <w:rPr>
          <w:rFonts w:ascii="Times New Roman" w:hAnsi="Times New Roman"/>
          <w:color w:val="000000"/>
          <w:sz w:val="22"/>
          <w:szCs w:val="22"/>
        </w:rPr>
        <w:t xml:space="preserve"> </w:t>
      </w:r>
      <w:r w:rsidR="0034267C" w:rsidRPr="00382A8B">
        <w:rPr>
          <w:rFonts w:ascii="Times New Roman" w:hAnsi="Times New Roman"/>
          <w:color w:val="000000"/>
          <w:sz w:val="22"/>
          <w:szCs w:val="22"/>
        </w:rPr>
        <w:t>D</w:t>
      </w:r>
      <w:r w:rsidR="00B047E5" w:rsidRPr="00382A8B">
        <w:rPr>
          <w:rFonts w:ascii="Times New Roman" w:hAnsi="Times New Roman"/>
          <w:color w:val="000000"/>
          <w:sz w:val="22"/>
          <w:szCs w:val="22"/>
        </w:rPr>
        <w:t>iese Lagerungsweise des deutschen Goldes</w:t>
      </w:r>
      <w:r w:rsidR="004C2CF2" w:rsidRPr="00382A8B">
        <w:rPr>
          <w:rFonts w:ascii="Times New Roman" w:hAnsi="Times New Roman"/>
          <w:color w:val="000000"/>
          <w:sz w:val="22"/>
          <w:szCs w:val="22"/>
        </w:rPr>
        <w:t xml:space="preserve"> </w:t>
      </w:r>
      <w:r w:rsidR="0083548A" w:rsidRPr="00382A8B">
        <w:rPr>
          <w:rFonts w:ascii="Times New Roman" w:hAnsi="Times New Roman"/>
          <w:color w:val="000000"/>
          <w:sz w:val="22"/>
          <w:szCs w:val="22"/>
        </w:rPr>
        <w:t>geriet zunehmend unter Kritik. Im Jahr 2012 bildete sich eine Bürgerinitia</w:t>
      </w:r>
      <w:r w:rsidR="00671393" w:rsidRPr="00382A8B">
        <w:rPr>
          <w:rFonts w:ascii="Times New Roman" w:hAnsi="Times New Roman"/>
          <w:color w:val="000000"/>
          <w:sz w:val="22"/>
          <w:szCs w:val="22"/>
        </w:rPr>
        <w:t>tive unter dem Namen „Holt unser Gold heim!“</w:t>
      </w:r>
      <w:r w:rsidR="001E12C4" w:rsidRPr="00382A8B">
        <w:rPr>
          <w:rFonts w:ascii="Times New Roman" w:hAnsi="Times New Roman"/>
          <w:color w:val="000000"/>
          <w:sz w:val="22"/>
          <w:szCs w:val="22"/>
        </w:rPr>
        <w:t>, die den Aufruf zur Goldverlagerung nach Deutschland</w:t>
      </w:r>
      <w:r w:rsidR="0070665F" w:rsidRPr="00382A8B">
        <w:rPr>
          <w:rFonts w:ascii="Times New Roman" w:hAnsi="Times New Roman"/>
          <w:color w:val="000000"/>
          <w:sz w:val="22"/>
          <w:szCs w:val="22"/>
        </w:rPr>
        <w:t xml:space="preserve"> veranlass.</w:t>
      </w:r>
      <w:r w:rsidR="00D82BFC" w:rsidRPr="00382A8B">
        <w:rPr>
          <w:rFonts w:ascii="Times New Roman" w:hAnsi="Times New Roman"/>
          <w:color w:val="000000"/>
          <w:sz w:val="22"/>
          <w:szCs w:val="22"/>
        </w:rPr>
        <w:t xml:space="preserve"> </w:t>
      </w:r>
      <w:r w:rsidR="0070665F" w:rsidRPr="00382A8B">
        <w:rPr>
          <w:rFonts w:ascii="Times New Roman" w:hAnsi="Times New Roman"/>
          <w:sz w:val="22"/>
          <w:szCs w:val="22"/>
        </w:rPr>
        <w:t xml:space="preserve">Daraufhin wurde </w:t>
      </w:r>
      <w:r w:rsidR="0029021F" w:rsidRPr="00382A8B">
        <w:rPr>
          <w:rFonts w:ascii="Times New Roman" w:hAnsi="Times New Roman"/>
          <w:sz w:val="22"/>
          <w:szCs w:val="22"/>
        </w:rPr>
        <w:t xml:space="preserve">im Jahr 2013 </w:t>
      </w:r>
      <w:r w:rsidR="0070665F" w:rsidRPr="00382A8B">
        <w:rPr>
          <w:rFonts w:ascii="Times New Roman" w:hAnsi="Times New Roman"/>
          <w:sz w:val="22"/>
          <w:szCs w:val="22"/>
        </w:rPr>
        <w:t>das</w:t>
      </w:r>
      <w:r w:rsidR="0029021F" w:rsidRPr="00382A8B">
        <w:rPr>
          <w:rFonts w:ascii="Times New Roman" w:hAnsi="Times New Roman"/>
          <w:sz w:val="22"/>
          <w:szCs w:val="22"/>
        </w:rPr>
        <w:t xml:space="preserve"> „Lagerstellenkonzept“ der Deutschen Bundesbank </w:t>
      </w:r>
      <w:r w:rsidR="0070665F" w:rsidRPr="00382A8B">
        <w:rPr>
          <w:rFonts w:ascii="Times New Roman" w:hAnsi="Times New Roman"/>
          <w:sz w:val="22"/>
          <w:szCs w:val="22"/>
        </w:rPr>
        <w:t>beschlossen</w:t>
      </w:r>
      <w:r w:rsidR="0029021F" w:rsidRPr="00382A8B">
        <w:rPr>
          <w:rFonts w:ascii="Times New Roman" w:hAnsi="Times New Roman"/>
          <w:sz w:val="22"/>
          <w:szCs w:val="22"/>
        </w:rPr>
        <w:t xml:space="preserve">. Laut dem Konzept sollte bis zum Jahr 2020 die Hälfte der deutschen Goldreserven in eigenen Tresoren in Frankfurt am Main </w:t>
      </w:r>
      <w:r w:rsidR="00D82BFC" w:rsidRPr="00382A8B">
        <w:rPr>
          <w:rFonts w:ascii="Times New Roman" w:hAnsi="Times New Roman"/>
          <w:sz w:val="22"/>
          <w:szCs w:val="22"/>
        </w:rPr>
        <w:t>ge</w:t>
      </w:r>
      <w:r w:rsidR="0029021F" w:rsidRPr="00382A8B">
        <w:rPr>
          <w:rFonts w:ascii="Times New Roman" w:hAnsi="Times New Roman"/>
          <w:sz w:val="22"/>
          <w:szCs w:val="22"/>
        </w:rPr>
        <w:t xml:space="preserve">lagert werden. Dieser Plan wurde vorzeitig im Jahr 2017 </w:t>
      </w:r>
      <w:r w:rsidR="000A6B43" w:rsidRPr="00382A8B">
        <w:rPr>
          <w:rFonts w:ascii="Times New Roman" w:hAnsi="Times New Roman"/>
          <w:sz w:val="22"/>
          <w:szCs w:val="22"/>
        </w:rPr>
        <w:t>realisiert</w:t>
      </w:r>
      <w:r w:rsidR="0029021F" w:rsidRPr="00382A8B">
        <w:rPr>
          <w:rFonts w:ascii="Times New Roman" w:hAnsi="Times New Roman"/>
          <w:sz w:val="22"/>
          <w:szCs w:val="22"/>
        </w:rPr>
        <w:t>. Zwischen 2013 und 2017 wurden in mehreren Schritten rund 300 Tonnen Gold aus New York und beinahe 380 Tonnen Gold aus Paris nach Frankfurt gebracht</w:t>
      </w:r>
      <w:r w:rsidR="0015436C" w:rsidRPr="00382A8B">
        <w:rPr>
          <w:rFonts w:ascii="Times New Roman" w:hAnsi="Times New Roman"/>
          <w:sz w:val="22"/>
          <w:szCs w:val="22"/>
        </w:rPr>
        <w:t xml:space="preserve"> (Tabelle </w:t>
      </w:r>
      <w:r w:rsidR="00160CEA" w:rsidRPr="00382A8B">
        <w:rPr>
          <w:rFonts w:ascii="Times New Roman" w:hAnsi="Times New Roman"/>
          <w:sz w:val="22"/>
          <w:szCs w:val="22"/>
        </w:rPr>
        <w:t>E</w:t>
      </w:r>
      <w:r w:rsidR="00F554B2" w:rsidRPr="00382A8B">
        <w:rPr>
          <w:rFonts w:ascii="Times New Roman" w:hAnsi="Times New Roman"/>
          <w:sz w:val="22"/>
          <w:szCs w:val="22"/>
        </w:rPr>
        <w:t>.19.2</w:t>
      </w:r>
      <w:r w:rsidR="008324BC" w:rsidRPr="00382A8B">
        <w:rPr>
          <w:rFonts w:ascii="Times New Roman" w:hAnsi="Times New Roman"/>
          <w:sz w:val="22"/>
          <w:szCs w:val="22"/>
        </w:rPr>
        <w:t xml:space="preserve"> und E.19.3</w:t>
      </w:r>
      <w:r w:rsidR="0015436C" w:rsidRPr="00382A8B">
        <w:rPr>
          <w:rFonts w:ascii="Times New Roman" w:hAnsi="Times New Roman"/>
          <w:sz w:val="22"/>
          <w:szCs w:val="22"/>
        </w:rPr>
        <w:t>)</w:t>
      </w:r>
      <w:r w:rsidR="0029021F" w:rsidRPr="00382A8B">
        <w:rPr>
          <w:rFonts w:ascii="Times New Roman" w:hAnsi="Times New Roman"/>
          <w:sz w:val="22"/>
          <w:szCs w:val="22"/>
        </w:rPr>
        <w:t>.</w:t>
      </w:r>
    </w:p>
    <w:p w14:paraId="5CC10A07" w14:textId="74AA8934" w:rsidR="009B482A" w:rsidRPr="00382A8B" w:rsidRDefault="009B482A" w:rsidP="0029021F">
      <w:pPr>
        <w:spacing w:line="300" w:lineRule="atLeast"/>
        <w:jc w:val="both"/>
        <w:rPr>
          <w:rFonts w:ascii="Times New Roman" w:hAnsi="Times New Roman"/>
          <w:sz w:val="22"/>
          <w:szCs w:val="22"/>
        </w:rPr>
      </w:pPr>
    </w:p>
    <w:p w14:paraId="3E8E88B1" w14:textId="10207D3B" w:rsidR="009B482A" w:rsidRPr="00382A8B" w:rsidRDefault="009B482A" w:rsidP="009B482A">
      <w:pPr>
        <w:pStyle w:val="StandardWeb"/>
        <w:spacing w:before="0" w:beforeAutospacing="0" w:after="0" w:afterAutospacing="0" w:line="223" w:lineRule="atLeast"/>
        <w:jc w:val="center"/>
        <w:rPr>
          <w:rFonts w:ascii="Times New Roman" w:hAnsi="Times New Roman"/>
          <w:i/>
          <w:sz w:val="22"/>
          <w:szCs w:val="22"/>
        </w:rPr>
      </w:pPr>
      <w:r w:rsidRPr="00382A8B">
        <w:rPr>
          <w:rFonts w:ascii="Times New Roman" w:hAnsi="Times New Roman"/>
          <w:i/>
          <w:sz w:val="22"/>
          <w:szCs w:val="22"/>
        </w:rPr>
        <w:t>Tab. E.19.</w:t>
      </w:r>
      <w:r w:rsidR="000A6B43" w:rsidRPr="00382A8B">
        <w:rPr>
          <w:rFonts w:ascii="Times New Roman" w:hAnsi="Times New Roman"/>
          <w:i/>
          <w:sz w:val="22"/>
          <w:szCs w:val="22"/>
        </w:rPr>
        <w:t>2</w:t>
      </w:r>
      <w:r w:rsidRPr="00382A8B">
        <w:rPr>
          <w:rFonts w:ascii="Times New Roman" w:hAnsi="Times New Roman"/>
          <w:i/>
          <w:sz w:val="22"/>
          <w:szCs w:val="22"/>
        </w:rPr>
        <w:t>: Goldverlagerung der Goldreserven der Deutschen Bundesbank</w:t>
      </w:r>
      <w:r w:rsidR="008324BC" w:rsidRPr="00382A8B">
        <w:rPr>
          <w:rFonts w:ascii="Times New Roman" w:hAnsi="Times New Roman"/>
          <w:i/>
          <w:sz w:val="22"/>
          <w:szCs w:val="22"/>
        </w:rPr>
        <w:t xml:space="preserve"> zwischen 2013 und 2017</w:t>
      </w:r>
      <w:r w:rsidRPr="00382A8B">
        <w:rPr>
          <w:rFonts w:ascii="Times New Roman" w:hAnsi="Times New Roman"/>
          <w:i/>
          <w:sz w:val="22"/>
          <w:szCs w:val="22"/>
        </w:rPr>
        <w:t>.</w:t>
      </w:r>
    </w:p>
    <w:p w14:paraId="1906FC26" w14:textId="77777777" w:rsidR="009B482A" w:rsidRPr="00382A8B" w:rsidRDefault="009B482A" w:rsidP="009B482A">
      <w:pPr>
        <w:spacing w:after="120" w:line="223" w:lineRule="atLeast"/>
        <w:jc w:val="center"/>
        <w:rPr>
          <w:rFonts w:ascii="Times New Roman" w:hAnsi="Times New Roman"/>
          <w:i/>
          <w:sz w:val="22"/>
          <w:szCs w:val="22"/>
        </w:rPr>
      </w:pPr>
      <w:r w:rsidRPr="00382A8B">
        <w:rPr>
          <w:rFonts w:ascii="Times New Roman" w:hAnsi="Times New Roman"/>
          <w:i/>
          <w:sz w:val="22"/>
          <w:szCs w:val="22"/>
        </w:rPr>
        <w:t>Quelle: Deutsche Bundesbank</w:t>
      </w:r>
    </w:p>
    <w:tbl>
      <w:tblPr>
        <w:tblStyle w:val="Tabellenraster"/>
        <w:tblW w:w="0" w:type="auto"/>
        <w:tblLook w:val="04A0" w:firstRow="1" w:lastRow="0" w:firstColumn="1" w:lastColumn="0" w:noHBand="0" w:noVBand="1"/>
      </w:tblPr>
      <w:tblGrid>
        <w:gridCol w:w="1811"/>
        <w:gridCol w:w="1811"/>
        <w:gridCol w:w="1812"/>
        <w:gridCol w:w="1813"/>
        <w:gridCol w:w="1813"/>
      </w:tblGrid>
      <w:tr w:rsidR="0093383F" w:rsidRPr="00382A8B" w14:paraId="48E7F1E2" w14:textId="77777777" w:rsidTr="009B482A">
        <w:trPr>
          <w:trHeight w:val="340"/>
        </w:trPr>
        <w:tc>
          <w:tcPr>
            <w:tcW w:w="1811" w:type="dxa"/>
            <w:vMerge w:val="restart"/>
            <w:shd w:val="pct10" w:color="auto" w:fill="auto"/>
            <w:vAlign w:val="center"/>
          </w:tcPr>
          <w:p w14:paraId="07F2D368" w14:textId="433B57DF" w:rsidR="0093383F" w:rsidRPr="00382A8B" w:rsidRDefault="0093383F" w:rsidP="00160CEA">
            <w:pPr>
              <w:spacing w:line="300" w:lineRule="atLeast"/>
              <w:jc w:val="center"/>
              <w:rPr>
                <w:rFonts w:ascii="Arial" w:hAnsi="Arial" w:cs="Arial"/>
                <w:b/>
                <w:sz w:val="18"/>
                <w:szCs w:val="18"/>
                <w:lang w:val="en-GB"/>
              </w:rPr>
            </w:pPr>
            <w:proofErr w:type="spellStart"/>
            <w:r w:rsidRPr="00382A8B">
              <w:rPr>
                <w:rFonts w:ascii="Arial" w:hAnsi="Arial" w:cs="Arial"/>
                <w:b/>
                <w:sz w:val="18"/>
                <w:szCs w:val="18"/>
                <w:lang w:val="en-GB"/>
              </w:rPr>
              <w:t>Verlagert</w:t>
            </w:r>
            <w:proofErr w:type="spellEnd"/>
            <w:r w:rsidRPr="00382A8B">
              <w:rPr>
                <w:rFonts w:ascii="Arial" w:hAnsi="Arial" w:cs="Arial"/>
                <w:b/>
                <w:sz w:val="18"/>
                <w:szCs w:val="18"/>
                <w:lang w:val="en-GB"/>
              </w:rPr>
              <w:t xml:space="preserve"> in:</w:t>
            </w:r>
          </w:p>
        </w:tc>
        <w:tc>
          <w:tcPr>
            <w:tcW w:w="1811" w:type="dxa"/>
            <w:tcBorders>
              <w:bottom w:val="single" w:sz="4" w:space="0" w:color="auto"/>
            </w:tcBorders>
            <w:shd w:val="pct10" w:color="auto" w:fill="auto"/>
            <w:vAlign w:val="center"/>
          </w:tcPr>
          <w:p w14:paraId="09A4E7CB" w14:textId="49C928D2" w:rsidR="0093383F" w:rsidRPr="00382A8B" w:rsidRDefault="00CC243A" w:rsidP="00160CEA">
            <w:pPr>
              <w:spacing w:line="300" w:lineRule="atLeast"/>
              <w:jc w:val="center"/>
              <w:rPr>
                <w:rFonts w:ascii="Arial" w:hAnsi="Arial" w:cs="Arial"/>
                <w:b/>
                <w:sz w:val="18"/>
                <w:szCs w:val="18"/>
                <w:lang w:val="en-GB"/>
              </w:rPr>
            </w:pPr>
            <w:proofErr w:type="spellStart"/>
            <w:r w:rsidRPr="00382A8B">
              <w:rPr>
                <w:rFonts w:ascii="Arial" w:hAnsi="Arial" w:cs="Arial"/>
                <w:b/>
                <w:sz w:val="18"/>
                <w:szCs w:val="18"/>
                <w:lang w:val="en-GB"/>
              </w:rPr>
              <w:t>a</w:t>
            </w:r>
            <w:r w:rsidR="0093383F" w:rsidRPr="00382A8B">
              <w:rPr>
                <w:rFonts w:ascii="Arial" w:hAnsi="Arial" w:cs="Arial"/>
                <w:b/>
                <w:sz w:val="18"/>
                <w:szCs w:val="18"/>
                <w:lang w:val="en-GB"/>
              </w:rPr>
              <w:t>us</w:t>
            </w:r>
            <w:proofErr w:type="spellEnd"/>
            <w:r w:rsidR="0093383F" w:rsidRPr="00382A8B">
              <w:rPr>
                <w:rFonts w:ascii="Arial" w:hAnsi="Arial" w:cs="Arial"/>
                <w:b/>
                <w:sz w:val="18"/>
                <w:szCs w:val="18"/>
                <w:lang w:val="en-GB"/>
              </w:rPr>
              <w:t xml:space="preserve"> Paris</w:t>
            </w:r>
          </w:p>
        </w:tc>
        <w:tc>
          <w:tcPr>
            <w:tcW w:w="1812" w:type="dxa"/>
            <w:tcBorders>
              <w:bottom w:val="single" w:sz="4" w:space="0" w:color="auto"/>
            </w:tcBorders>
            <w:shd w:val="pct10" w:color="auto" w:fill="auto"/>
            <w:vAlign w:val="center"/>
          </w:tcPr>
          <w:p w14:paraId="165D1444" w14:textId="590F074E" w:rsidR="0093383F" w:rsidRPr="00382A8B" w:rsidRDefault="00CC243A" w:rsidP="00160CEA">
            <w:pPr>
              <w:spacing w:line="300" w:lineRule="atLeast"/>
              <w:jc w:val="center"/>
              <w:rPr>
                <w:rFonts w:ascii="Arial" w:hAnsi="Arial" w:cs="Arial"/>
                <w:b/>
                <w:sz w:val="18"/>
                <w:szCs w:val="18"/>
                <w:lang w:val="en-GB"/>
              </w:rPr>
            </w:pPr>
            <w:proofErr w:type="spellStart"/>
            <w:r w:rsidRPr="00382A8B">
              <w:rPr>
                <w:rFonts w:ascii="Arial" w:hAnsi="Arial" w:cs="Arial"/>
                <w:b/>
                <w:sz w:val="18"/>
                <w:szCs w:val="18"/>
                <w:lang w:val="en-GB"/>
              </w:rPr>
              <w:t>a</w:t>
            </w:r>
            <w:r w:rsidR="0093383F" w:rsidRPr="00382A8B">
              <w:rPr>
                <w:rFonts w:ascii="Arial" w:hAnsi="Arial" w:cs="Arial"/>
                <w:b/>
                <w:sz w:val="18"/>
                <w:szCs w:val="18"/>
                <w:lang w:val="en-GB"/>
              </w:rPr>
              <w:t>us</w:t>
            </w:r>
            <w:proofErr w:type="spellEnd"/>
            <w:r w:rsidR="0093383F" w:rsidRPr="00382A8B">
              <w:rPr>
                <w:rFonts w:ascii="Arial" w:hAnsi="Arial" w:cs="Arial"/>
                <w:b/>
                <w:sz w:val="18"/>
                <w:szCs w:val="18"/>
                <w:lang w:val="en-GB"/>
              </w:rPr>
              <w:t xml:space="preserve"> New York</w:t>
            </w:r>
          </w:p>
        </w:tc>
        <w:tc>
          <w:tcPr>
            <w:tcW w:w="1813" w:type="dxa"/>
            <w:tcBorders>
              <w:bottom w:val="single" w:sz="4" w:space="0" w:color="auto"/>
            </w:tcBorders>
            <w:shd w:val="pct10" w:color="auto" w:fill="auto"/>
            <w:vAlign w:val="center"/>
          </w:tcPr>
          <w:p w14:paraId="0BDF2D0D" w14:textId="55D00CC0" w:rsidR="0093383F" w:rsidRPr="00382A8B" w:rsidRDefault="00CC243A" w:rsidP="00160CEA">
            <w:pPr>
              <w:spacing w:line="300" w:lineRule="atLeast"/>
              <w:jc w:val="center"/>
              <w:rPr>
                <w:rFonts w:ascii="Arial" w:hAnsi="Arial" w:cs="Arial"/>
                <w:b/>
                <w:sz w:val="18"/>
                <w:szCs w:val="18"/>
                <w:lang w:val="en-GB"/>
              </w:rPr>
            </w:pPr>
            <w:proofErr w:type="spellStart"/>
            <w:r w:rsidRPr="00382A8B">
              <w:rPr>
                <w:rFonts w:ascii="Arial" w:hAnsi="Arial" w:cs="Arial"/>
                <w:b/>
                <w:sz w:val="18"/>
                <w:szCs w:val="18"/>
                <w:lang w:val="en-GB"/>
              </w:rPr>
              <w:t>g</w:t>
            </w:r>
            <w:r w:rsidR="0093383F" w:rsidRPr="00382A8B">
              <w:rPr>
                <w:rFonts w:ascii="Arial" w:hAnsi="Arial" w:cs="Arial"/>
                <w:b/>
                <w:sz w:val="18"/>
                <w:szCs w:val="18"/>
                <w:lang w:val="en-GB"/>
              </w:rPr>
              <w:t>esamt</w:t>
            </w:r>
            <w:proofErr w:type="spellEnd"/>
          </w:p>
        </w:tc>
        <w:tc>
          <w:tcPr>
            <w:tcW w:w="1813" w:type="dxa"/>
            <w:vMerge w:val="restart"/>
            <w:shd w:val="pct10" w:color="auto" w:fill="auto"/>
            <w:vAlign w:val="center"/>
          </w:tcPr>
          <w:p w14:paraId="0BD015FB" w14:textId="14DC670B" w:rsidR="0093383F" w:rsidRPr="00382A8B" w:rsidRDefault="0093383F" w:rsidP="00160CEA">
            <w:pPr>
              <w:spacing w:line="300" w:lineRule="atLeast"/>
              <w:jc w:val="center"/>
              <w:rPr>
                <w:rFonts w:ascii="Arial" w:hAnsi="Arial" w:cs="Arial"/>
                <w:b/>
                <w:sz w:val="18"/>
                <w:szCs w:val="18"/>
                <w:lang w:val="en-GB"/>
              </w:rPr>
            </w:pPr>
            <w:proofErr w:type="spellStart"/>
            <w:r w:rsidRPr="00382A8B">
              <w:rPr>
                <w:rFonts w:ascii="Arial" w:hAnsi="Arial" w:cs="Arial"/>
                <w:b/>
                <w:sz w:val="18"/>
                <w:szCs w:val="18"/>
                <w:lang w:val="en-GB"/>
              </w:rPr>
              <w:t>Anteil</w:t>
            </w:r>
            <w:proofErr w:type="spellEnd"/>
            <w:r w:rsidR="00BC6555" w:rsidRPr="00382A8B">
              <w:rPr>
                <w:rFonts w:ascii="Arial" w:hAnsi="Arial" w:cs="Arial"/>
                <w:b/>
                <w:sz w:val="18"/>
                <w:szCs w:val="18"/>
                <w:lang w:val="en-GB"/>
              </w:rPr>
              <w:t xml:space="preserve"> in </w:t>
            </w:r>
            <w:proofErr w:type="spellStart"/>
            <w:r w:rsidR="00BC6555" w:rsidRPr="00382A8B">
              <w:rPr>
                <w:rFonts w:ascii="Arial" w:hAnsi="Arial" w:cs="Arial"/>
                <w:b/>
                <w:sz w:val="18"/>
                <w:szCs w:val="18"/>
                <w:lang w:val="en-GB"/>
              </w:rPr>
              <w:t>Prozent</w:t>
            </w:r>
            <w:proofErr w:type="spellEnd"/>
          </w:p>
        </w:tc>
      </w:tr>
      <w:tr w:rsidR="0093383F" w:rsidRPr="00382A8B" w14:paraId="68DE3249" w14:textId="77777777" w:rsidTr="009B482A">
        <w:trPr>
          <w:trHeight w:val="340"/>
        </w:trPr>
        <w:tc>
          <w:tcPr>
            <w:tcW w:w="1811" w:type="dxa"/>
            <w:vMerge/>
            <w:shd w:val="pct10" w:color="auto" w:fill="auto"/>
            <w:vAlign w:val="center"/>
          </w:tcPr>
          <w:p w14:paraId="053751AF" w14:textId="6C7F9264" w:rsidR="0093383F" w:rsidRPr="00382A8B" w:rsidRDefault="0093383F" w:rsidP="0093383F">
            <w:pPr>
              <w:spacing w:line="300" w:lineRule="atLeast"/>
              <w:jc w:val="center"/>
              <w:rPr>
                <w:rFonts w:ascii="Arial" w:hAnsi="Arial" w:cs="Arial"/>
                <w:sz w:val="18"/>
                <w:szCs w:val="18"/>
                <w:lang w:val="en-GB"/>
              </w:rPr>
            </w:pPr>
          </w:p>
        </w:tc>
        <w:tc>
          <w:tcPr>
            <w:tcW w:w="5436" w:type="dxa"/>
            <w:gridSpan w:val="3"/>
            <w:shd w:val="pct5" w:color="auto" w:fill="auto"/>
            <w:vAlign w:val="center"/>
          </w:tcPr>
          <w:p w14:paraId="6D6E1EC6" w14:textId="2E6EAF63" w:rsidR="0093383F" w:rsidRPr="00382A8B" w:rsidRDefault="0093383F" w:rsidP="00160CEA">
            <w:pPr>
              <w:spacing w:line="300" w:lineRule="atLeast"/>
              <w:jc w:val="center"/>
              <w:rPr>
                <w:rFonts w:ascii="Arial" w:hAnsi="Arial" w:cs="Arial"/>
                <w:b/>
                <w:sz w:val="18"/>
                <w:szCs w:val="18"/>
                <w:lang w:val="en-GB"/>
              </w:rPr>
            </w:pPr>
            <w:r w:rsidRPr="00382A8B">
              <w:rPr>
                <w:rFonts w:ascii="Arial" w:hAnsi="Arial" w:cs="Arial"/>
                <w:b/>
                <w:sz w:val="18"/>
                <w:szCs w:val="18"/>
                <w:lang w:val="en-GB"/>
              </w:rPr>
              <w:t xml:space="preserve">in </w:t>
            </w:r>
            <w:proofErr w:type="spellStart"/>
            <w:r w:rsidRPr="00382A8B">
              <w:rPr>
                <w:rFonts w:ascii="Arial" w:hAnsi="Arial" w:cs="Arial"/>
                <w:b/>
                <w:sz w:val="18"/>
                <w:szCs w:val="18"/>
                <w:lang w:val="en-GB"/>
              </w:rPr>
              <w:t>Tonnen</w:t>
            </w:r>
            <w:proofErr w:type="spellEnd"/>
          </w:p>
        </w:tc>
        <w:tc>
          <w:tcPr>
            <w:tcW w:w="1813" w:type="dxa"/>
            <w:vMerge/>
            <w:shd w:val="pct10" w:color="auto" w:fill="auto"/>
          </w:tcPr>
          <w:p w14:paraId="349F932F" w14:textId="68BDB8D7" w:rsidR="0093383F" w:rsidRPr="00382A8B" w:rsidRDefault="0093383F" w:rsidP="0029021F">
            <w:pPr>
              <w:spacing w:line="300" w:lineRule="atLeast"/>
              <w:jc w:val="both"/>
              <w:rPr>
                <w:rFonts w:ascii="Arial" w:hAnsi="Arial" w:cs="Arial"/>
                <w:sz w:val="18"/>
                <w:szCs w:val="18"/>
                <w:lang w:val="en-GB"/>
              </w:rPr>
            </w:pPr>
          </w:p>
        </w:tc>
      </w:tr>
      <w:tr w:rsidR="00873191" w:rsidRPr="00382A8B" w14:paraId="020FDD47" w14:textId="77777777" w:rsidTr="009B482A">
        <w:trPr>
          <w:trHeight w:val="340"/>
        </w:trPr>
        <w:tc>
          <w:tcPr>
            <w:tcW w:w="1811" w:type="dxa"/>
            <w:vAlign w:val="center"/>
          </w:tcPr>
          <w:p w14:paraId="2F3C0DE9" w14:textId="02C17C8C" w:rsidR="00873191" w:rsidRPr="00382A8B" w:rsidRDefault="00873191" w:rsidP="0093383F">
            <w:pPr>
              <w:spacing w:line="300" w:lineRule="atLeast"/>
              <w:jc w:val="center"/>
              <w:rPr>
                <w:rFonts w:ascii="Arial" w:hAnsi="Arial" w:cs="Arial"/>
                <w:sz w:val="18"/>
                <w:szCs w:val="18"/>
                <w:lang w:val="en-GB"/>
              </w:rPr>
            </w:pPr>
            <w:r w:rsidRPr="00382A8B">
              <w:rPr>
                <w:rFonts w:ascii="Arial" w:hAnsi="Arial" w:cs="Arial"/>
                <w:sz w:val="18"/>
                <w:szCs w:val="18"/>
              </w:rPr>
              <w:t>2013</w:t>
            </w:r>
          </w:p>
        </w:tc>
        <w:tc>
          <w:tcPr>
            <w:tcW w:w="1811" w:type="dxa"/>
          </w:tcPr>
          <w:p w14:paraId="2DEE72FF" w14:textId="31CEDE73"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32</w:t>
            </w:r>
          </w:p>
        </w:tc>
        <w:tc>
          <w:tcPr>
            <w:tcW w:w="1812" w:type="dxa"/>
          </w:tcPr>
          <w:p w14:paraId="2FBE61D3" w14:textId="266A48E5"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5</w:t>
            </w:r>
          </w:p>
        </w:tc>
        <w:tc>
          <w:tcPr>
            <w:tcW w:w="1813" w:type="dxa"/>
          </w:tcPr>
          <w:p w14:paraId="35BBB68B" w14:textId="7D0AD1F9"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37</w:t>
            </w:r>
          </w:p>
        </w:tc>
        <w:tc>
          <w:tcPr>
            <w:tcW w:w="1813" w:type="dxa"/>
          </w:tcPr>
          <w:p w14:paraId="7D56B2A2" w14:textId="4690716C"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5 %</w:t>
            </w:r>
          </w:p>
        </w:tc>
      </w:tr>
      <w:tr w:rsidR="00873191" w:rsidRPr="00382A8B" w14:paraId="07073AFF" w14:textId="77777777" w:rsidTr="009B482A">
        <w:trPr>
          <w:trHeight w:val="340"/>
        </w:trPr>
        <w:tc>
          <w:tcPr>
            <w:tcW w:w="1811" w:type="dxa"/>
            <w:vAlign w:val="center"/>
          </w:tcPr>
          <w:p w14:paraId="35A899FA" w14:textId="13819B7A" w:rsidR="00873191" w:rsidRPr="00382A8B" w:rsidRDefault="00873191" w:rsidP="0093383F">
            <w:pPr>
              <w:spacing w:line="300" w:lineRule="atLeast"/>
              <w:jc w:val="center"/>
              <w:rPr>
                <w:rFonts w:ascii="Arial" w:hAnsi="Arial" w:cs="Arial"/>
                <w:sz w:val="18"/>
                <w:szCs w:val="18"/>
                <w:lang w:val="en-GB"/>
              </w:rPr>
            </w:pPr>
            <w:r w:rsidRPr="00382A8B">
              <w:rPr>
                <w:rFonts w:ascii="Arial" w:hAnsi="Arial" w:cs="Arial"/>
                <w:sz w:val="18"/>
                <w:szCs w:val="18"/>
              </w:rPr>
              <w:t>2014</w:t>
            </w:r>
          </w:p>
        </w:tc>
        <w:tc>
          <w:tcPr>
            <w:tcW w:w="1811" w:type="dxa"/>
          </w:tcPr>
          <w:p w14:paraId="2027D39B" w14:textId="60942FD3"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35</w:t>
            </w:r>
          </w:p>
        </w:tc>
        <w:tc>
          <w:tcPr>
            <w:tcW w:w="1812" w:type="dxa"/>
          </w:tcPr>
          <w:p w14:paraId="32EDAC3D" w14:textId="50647729"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85</w:t>
            </w:r>
          </w:p>
        </w:tc>
        <w:tc>
          <w:tcPr>
            <w:tcW w:w="1813" w:type="dxa"/>
          </w:tcPr>
          <w:p w14:paraId="62F56C36" w14:textId="0CA27386"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120</w:t>
            </w:r>
          </w:p>
        </w:tc>
        <w:tc>
          <w:tcPr>
            <w:tcW w:w="1813" w:type="dxa"/>
          </w:tcPr>
          <w:p w14:paraId="7C453B77" w14:textId="37482614"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18 %</w:t>
            </w:r>
          </w:p>
        </w:tc>
      </w:tr>
      <w:tr w:rsidR="00873191" w:rsidRPr="00382A8B" w14:paraId="78FD9687" w14:textId="77777777" w:rsidTr="009B482A">
        <w:trPr>
          <w:trHeight w:val="340"/>
        </w:trPr>
        <w:tc>
          <w:tcPr>
            <w:tcW w:w="1811" w:type="dxa"/>
            <w:vAlign w:val="center"/>
          </w:tcPr>
          <w:p w14:paraId="3B6EF85E" w14:textId="7C83C1D3" w:rsidR="00873191" w:rsidRPr="00382A8B" w:rsidRDefault="00873191" w:rsidP="0093383F">
            <w:pPr>
              <w:spacing w:line="300" w:lineRule="atLeast"/>
              <w:jc w:val="center"/>
              <w:rPr>
                <w:rFonts w:ascii="Arial" w:hAnsi="Arial" w:cs="Arial"/>
                <w:sz w:val="18"/>
                <w:szCs w:val="18"/>
                <w:lang w:val="en-GB"/>
              </w:rPr>
            </w:pPr>
            <w:r w:rsidRPr="00382A8B">
              <w:rPr>
                <w:rFonts w:ascii="Arial" w:hAnsi="Arial" w:cs="Arial"/>
                <w:sz w:val="18"/>
                <w:szCs w:val="18"/>
              </w:rPr>
              <w:t>2015</w:t>
            </w:r>
          </w:p>
        </w:tc>
        <w:tc>
          <w:tcPr>
            <w:tcW w:w="1811" w:type="dxa"/>
          </w:tcPr>
          <w:p w14:paraId="2B3AFCAD" w14:textId="604890C3"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111</w:t>
            </w:r>
          </w:p>
        </w:tc>
        <w:tc>
          <w:tcPr>
            <w:tcW w:w="1812" w:type="dxa"/>
          </w:tcPr>
          <w:p w14:paraId="10FC3A1D" w14:textId="5796866C"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99</w:t>
            </w:r>
          </w:p>
        </w:tc>
        <w:tc>
          <w:tcPr>
            <w:tcW w:w="1813" w:type="dxa"/>
          </w:tcPr>
          <w:p w14:paraId="374E2607" w14:textId="79B7735E"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210</w:t>
            </w:r>
          </w:p>
        </w:tc>
        <w:tc>
          <w:tcPr>
            <w:tcW w:w="1813" w:type="dxa"/>
          </w:tcPr>
          <w:p w14:paraId="4C15BCEC" w14:textId="402CBC65"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31 %</w:t>
            </w:r>
          </w:p>
        </w:tc>
      </w:tr>
      <w:tr w:rsidR="00873191" w:rsidRPr="00382A8B" w14:paraId="20FE100D" w14:textId="77777777" w:rsidTr="009B482A">
        <w:trPr>
          <w:trHeight w:val="340"/>
        </w:trPr>
        <w:tc>
          <w:tcPr>
            <w:tcW w:w="1811" w:type="dxa"/>
            <w:vAlign w:val="center"/>
          </w:tcPr>
          <w:p w14:paraId="3384AF5B" w14:textId="0A9D2006" w:rsidR="00873191" w:rsidRPr="00382A8B" w:rsidRDefault="00873191" w:rsidP="0093383F">
            <w:pPr>
              <w:spacing w:line="300" w:lineRule="atLeast"/>
              <w:jc w:val="center"/>
              <w:rPr>
                <w:rFonts w:ascii="Arial" w:hAnsi="Arial" w:cs="Arial"/>
                <w:sz w:val="18"/>
                <w:szCs w:val="18"/>
                <w:lang w:val="en-GB"/>
              </w:rPr>
            </w:pPr>
            <w:r w:rsidRPr="00382A8B">
              <w:rPr>
                <w:rFonts w:ascii="Arial" w:hAnsi="Arial" w:cs="Arial"/>
                <w:sz w:val="18"/>
                <w:szCs w:val="18"/>
              </w:rPr>
              <w:t>2016</w:t>
            </w:r>
          </w:p>
        </w:tc>
        <w:tc>
          <w:tcPr>
            <w:tcW w:w="1811" w:type="dxa"/>
          </w:tcPr>
          <w:p w14:paraId="044808B5" w14:textId="56CB77B2"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105</w:t>
            </w:r>
          </w:p>
        </w:tc>
        <w:tc>
          <w:tcPr>
            <w:tcW w:w="1812" w:type="dxa"/>
          </w:tcPr>
          <w:p w14:paraId="5A82C8A4" w14:textId="27539FF1"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111</w:t>
            </w:r>
          </w:p>
        </w:tc>
        <w:tc>
          <w:tcPr>
            <w:tcW w:w="1813" w:type="dxa"/>
          </w:tcPr>
          <w:p w14:paraId="665820F4" w14:textId="43CA1E09"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216</w:t>
            </w:r>
          </w:p>
        </w:tc>
        <w:tc>
          <w:tcPr>
            <w:tcW w:w="1813" w:type="dxa"/>
          </w:tcPr>
          <w:p w14:paraId="5DF527A0" w14:textId="6AED0D9C"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32 %</w:t>
            </w:r>
          </w:p>
        </w:tc>
      </w:tr>
      <w:tr w:rsidR="00873191" w:rsidRPr="00382A8B" w14:paraId="2C97C196" w14:textId="77777777" w:rsidTr="009B482A">
        <w:trPr>
          <w:trHeight w:val="340"/>
        </w:trPr>
        <w:tc>
          <w:tcPr>
            <w:tcW w:w="1811" w:type="dxa"/>
            <w:vAlign w:val="center"/>
          </w:tcPr>
          <w:p w14:paraId="4DBA7DEA" w14:textId="1D467EA5" w:rsidR="00873191" w:rsidRPr="00382A8B" w:rsidRDefault="00873191" w:rsidP="0093383F">
            <w:pPr>
              <w:spacing w:line="300" w:lineRule="atLeast"/>
              <w:jc w:val="center"/>
              <w:rPr>
                <w:rFonts w:ascii="Arial" w:hAnsi="Arial" w:cs="Arial"/>
                <w:sz w:val="18"/>
                <w:szCs w:val="18"/>
                <w:lang w:val="en-GB"/>
              </w:rPr>
            </w:pPr>
            <w:r w:rsidRPr="00382A8B">
              <w:rPr>
                <w:rFonts w:ascii="Arial" w:hAnsi="Arial" w:cs="Arial"/>
                <w:sz w:val="18"/>
                <w:szCs w:val="18"/>
              </w:rPr>
              <w:t>2017</w:t>
            </w:r>
          </w:p>
        </w:tc>
        <w:tc>
          <w:tcPr>
            <w:tcW w:w="1811" w:type="dxa"/>
          </w:tcPr>
          <w:p w14:paraId="067D66E2" w14:textId="7E82066F"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91</w:t>
            </w:r>
          </w:p>
        </w:tc>
        <w:tc>
          <w:tcPr>
            <w:tcW w:w="1812" w:type="dxa"/>
          </w:tcPr>
          <w:p w14:paraId="13E09CA8" w14:textId="79CFD130" w:rsidR="00873191" w:rsidRPr="00382A8B" w:rsidRDefault="00EE7321" w:rsidP="00EE7321">
            <w:pPr>
              <w:spacing w:line="300" w:lineRule="atLeast"/>
              <w:jc w:val="right"/>
              <w:rPr>
                <w:rFonts w:ascii="Arial" w:hAnsi="Arial" w:cs="Arial"/>
                <w:sz w:val="18"/>
                <w:szCs w:val="18"/>
                <w:lang w:val="en-GB"/>
              </w:rPr>
            </w:pPr>
            <w:r w:rsidRPr="00382A8B">
              <w:rPr>
                <w:rFonts w:ascii="Arial" w:hAnsi="Arial" w:cs="Arial"/>
                <w:sz w:val="18"/>
                <w:szCs w:val="18"/>
                <w:lang w:val="en-GB"/>
              </w:rPr>
              <w:t>--</w:t>
            </w:r>
          </w:p>
        </w:tc>
        <w:tc>
          <w:tcPr>
            <w:tcW w:w="1813" w:type="dxa"/>
          </w:tcPr>
          <w:p w14:paraId="2AE6A77C" w14:textId="5F4131BB"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91</w:t>
            </w:r>
          </w:p>
        </w:tc>
        <w:tc>
          <w:tcPr>
            <w:tcW w:w="1813" w:type="dxa"/>
          </w:tcPr>
          <w:p w14:paraId="6DB3FA57" w14:textId="195599BB" w:rsidR="00873191" w:rsidRPr="00382A8B" w:rsidRDefault="00873191" w:rsidP="00EE7321">
            <w:pPr>
              <w:spacing w:line="300" w:lineRule="atLeast"/>
              <w:jc w:val="right"/>
              <w:rPr>
                <w:rFonts w:ascii="Arial" w:hAnsi="Arial" w:cs="Arial"/>
                <w:sz w:val="18"/>
                <w:szCs w:val="18"/>
                <w:lang w:val="en-GB"/>
              </w:rPr>
            </w:pPr>
            <w:r w:rsidRPr="00382A8B">
              <w:rPr>
                <w:rFonts w:ascii="Arial" w:hAnsi="Arial" w:cs="Arial"/>
                <w:sz w:val="18"/>
                <w:szCs w:val="18"/>
              </w:rPr>
              <w:t>14 %</w:t>
            </w:r>
          </w:p>
        </w:tc>
      </w:tr>
      <w:tr w:rsidR="00C83853" w:rsidRPr="00382A8B" w14:paraId="3778A9FF" w14:textId="77777777" w:rsidTr="009B482A">
        <w:trPr>
          <w:trHeight w:val="340"/>
        </w:trPr>
        <w:tc>
          <w:tcPr>
            <w:tcW w:w="1811" w:type="dxa"/>
            <w:vAlign w:val="center"/>
          </w:tcPr>
          <w:p w14:paraId="4566CE91" w14:textId="4DE7A9A5" w:rsidR="00C83853" w:rsidRPr="00382A8B" w:rsidRDefault="009B482A" w:rsidP="0093383F">
            <w:pPr>
              <w:spacing w:line="300" w:lineRule="atLeast"/>
              <w:jc w:val="center"/>
              <w:rPr>
                <w:rFonts w:ascii="Arial" w:hAnsi="Arial" w:cs="Arial"/>
                <w:sz w:val="18"/>
                <w:szCs w:val="18"/>
              </w:rPr>
            </w:pPr>
            <w:r w:rsidRPr="00382A8B">
              <w:rPr>
                <w:rFonts w:ascii="Arial" w:hAnsi="Arial" w:cs="Arial"/>
                <w:sz w:val="18"/>
                <w:szCs w:val="18"/>
              </w:rPr>
              <w:t>g</w:t>
            </w:r>
            <w:r w:rsidR="00C83853" w:rsidRPr="00382A8B">
              <w:rPr>
                <w:rFonts w:ascii="Arial" w:hAnsi="Arial" w:cs="Arial"/>
                <w:sz w:val="18"/>
                <w:szCs w:val="18"/>
              </w:rPr>
              <w:t>esamt</w:t>
            </w:r>
          </w:p>
        </w:tc>
        <w:tc>
          <w:tcPr>
            <w:tcW w:w="1811" w:type="dxa"/>
          </w:tcPr>
          <w:p w14:paraId="140F71F0" w14:textId="3F854719" w:rsidR="00C83853" w:rsidRPr="00382A8B" w:rsidRDefault="00C83853" w:rsidP="00EE7321">
            <w:pPr>
              <w:spacing w:line="300" w:lineRule="atLeast"/>
              <w:jc w:val="right"/>
              <w:rPr>
                <w:rFonts w:ascii="Arial" w:hAnsi="Arial" w:cs="Arial"/>
                <w:sz w:val="18"/>
                <w:szCs w:val="18"/>
              </w:rPr>
            </w:pPr>
            <w:r w:rsidRPr="00382A8B">
              <w:rPr>
                <w:rFonts w:ascii="Arial" w:hAnsi="Arial" w:cs="Arial"/>
                <w:sz w:val="18"/>
                <w:szCs w:val="18"/>
              </w:rPr>
              <w:t>374</w:t>
            </w:r>
          </w:p>
        </w:tc>
        <w:tc>
          <w:tcPr>
            <w:tcW w:w="1812" w:type="dxa"/>
          </w:tcPr>
          <w:p w14:paraId="2F92AED3" w14:textId="2BFA737F" w:rsidR="00C83853" w:rsidRPr="00382A8B" w:rsidRDefault="0093383F" w:rsidP="00EE7321">
            <w:pPr>
              <w:spacing w:line="300" w:lineRule="atLeast"/>
              <w:jc w:val="right"/>
              <w:rPr>
                <w:rFonts w:ascii="Arial" w:hAnsi="Arial" w:cs="Arial"/>
                <w:sz w:val="18"/>
                <w:szCs w:val="18"/>
                <w:lang w:val="en-GB"/>
              </w:rPr>
            </w:pPr>
            <w:r w:rsidRPr="00382A8B">
              <w:rPr>
                <w:rFonts w:ascii="Arial" w:hAnsi="Arial" w:cs="Arial"/>
                <w:sz w:val="18"/>
                <w:szCs w:val="18"/>
                <w:lang w:val="en-GB"/>
              </w:rPr>
              <w:t>300</w:t>
            </w:r>
          </w:p>
        </w:tc>
        <w:tc>
          <w:tcPr>
            <w:tcW w:w="1813" w:type="dxa"/>
          </w:tcPr>
          <w:p w14:paraId="294995B1" w14:textId="0C55F527" w:rsidR="00C83853" w:rsidRPr="00382A8B" w:rsidRDefault="0093383F" w:rsidP="00EE7321">
            <w:pPr>
              <w:spacing w:line="300" w:lineRule="atLeast"/>
              <w:jc w:val="right"/>
              <w:rPr>
                <w:rFonts w:ascii="Arial" w:hAnsi="Arial" w:cs="Arial"/>
                <w:sz w:val="18"/>
                <w:szCs w:val="18"/>
              </w:rPr>
            </w:pPr>
            <w:r w:rsidRPr="00382A8B">
              <w:rPr>
                <w:rFonts w:ascii="Arial" w:hAnsi="Arial" w:cs="Arial"/>
                <w:sz w:val="18"/>
                <w:szCs w:val="18"/>
              </w:rPr>
              <w:t>674</w:t>
            </w:r>
          </w:p>
        </w:tc>
        <w:tc>
          <w:tcPr>
            <w:tcW w:w="1813" w:type="dxa"/>
          </w:tcPr>
          <w:p w14:paraId="07007442" w14:textId="4E50CD71" w:rsidR="00C83853" w:rsidRPr="00382A8B" w:rsidRDefault="0093383F" w:rsidP="00EE7321">
            <w:pPr>
              <w:spacing w:line="300" w:lineRule="atLeast"/>
              <w:jc w:val="right"/>
              <w:rPr>
                <w:rFonts w:ascii="Arial" w:hAnsi="Arial" w:cs="Arial"/>
                <w:sz w:val="18"/>
                <w:szCs w:val="18"/>
              </w:rPr>
            </w:pPr>
            <w:r w:rsidRPr="00382A8B">
              <w:rPr>
                <w:rFonts w:ascii="Arial" w:hAnsi="Arial" w:cs="Arial"/>
                <w:sz w:val="18"/>
                <w:szCs w:val="18"/>
              </w:rPr>
              <w:t>100 %</w:t>
            </w:r>
          </w:p>
        </w:tc>
      </w:tr>
    </w:tbl>
    <w:p w14:paraId="5E7C1665" w14:textId="77777777" w:rsidR="008324BC" w:rsidRPr="00382A8B" w:rsidRDefault="008324BC" w:rsidP="00160CEA">
      <w:pPr>
        <w:spacing w:line="300" w:lineRule="atLeast"/>
        <w:rPr>
          <w:rFonts w:ascii="Times New Roman" w:hAnsi="Times New Roman"/>
          <w:b/>
          <w:sz w:val="22"/>
          <w:szCs w:val="22"/>
          <w:lang w:val="en-GB"/>
        </w:rPr>
      </w:pPr>
    </w:p>
    <w:p w14:paraId="52535A16" w14:textId="77777777" w:rsidR="008324BC" w:rsidRPr="00382A8B" w:rsidRDefault="008324BC" w:rsidP="008324BC">
      <w:pPr>
        <w:rPr>
          <w:rFonts w:ascii="Times New Roman" w:hAnsi="Times New Roman"/>
          <w:b/>
          <w:sz w:val="22"/>
          <w:szCs w:val="22"/>
          <w:lang w:val="en-GB"/>
        </w:rPr>
      </w:pPr>
    </w:p>
    <w:p w14:paraId="5FB24B65" w14:textId="47F03F8B" w:rsidR="008324BC" w:rsidRPr="00382A8B" w:rsidRDefault="008324BC" w:rsidP="0028587A">
      <w:pPr>
        <w:tabs>
          <w:tab w:val="left" w:pos="1340"/>
        </w:tabs>
        <w:rPr>
          <w:rFonts w:ascii="Times New Roman" w:hAnsi="Times New Roman"/>
          <w:i/>
          <w:sz w:val="22"/>
          <w:szCs w:val="22"/>
        </w:rPr>
      </w:pPr>
      <w:r w:rsidRPr="00382A8B">
        <w:rPr>
          <w:rFonts w:ascii="Times New Roman" w:hAnsi="Times New Roman"/>
          <w:b/>
          <w:sz w:val="22"/>
          <w:szCs w:val="22"/>
        </w:rPr>
        <w:lastRenderedPageBreak/>
        <w:tab/>
      </w:r>
      <w:r w:rsidRPr="00382A8B">
        <w:rPr>
          <w:rFonts w:ascii="Times New Roman" w:hAnsi="Times New Roman"/>
          <w:i/>
          <w:sz w:val="22"/>
          <w:szCs w:val="22"/>
        </w:rPr>
        <w:t xml:space="preserve">Tab. E.19.3: Lagerorte der Goldreserven der Deutschen Bundesbank </w:t>
      </w:r>
      <w:r w:rsidR="0007353C" w:rsidRPr="00382A8B">
        <w:rPr>
          <w:rFonts w:ascii="Times New Roman" w:hAnsi="Times New Roman"/>
          <w:i/>
          <w:sz w:val="22"/>
          <w:szCs w:val="22"/>
        </w:rPr>
        <w:t>am 31.12.</w:t>
      </w:r>
      <w:r w:rsidRPr="00382A8B">
        <w:rPr>
          <w:rFonts w:ascii="Times New Roman" w:hAnsi="Times New Roman"/>
          <w:i/>
          <w:sz w:val="22"/>
          <w:szCs w:val="22"/>
        </w:rPr>
        <w:t>20</w:t>
      </w:r>
      <w:r w:rsidR="00186C2F" w:rsidRPr="00382A8B">
        <w:rPr>
          <w:rFonts w:ascii="Times New Roman" w:hAnsi="Times New Roman"/>
          <w:i/>
          <w:sz w:val="22"/>
          <w:szCs w:val="22"/>
        </w:rPr>
        <w:t>21</w:t>
      </w:r>
      <w:r w:rsidRPr="00382A8B">
        <w:rPr>
          <w:rFonts w:ascii="Times New Roman" w:hAnsi="Times New Roman"/>
          <w:i/>
          <w:sz w:val="22"/>
          <w:szCs w:val="22"/>
        </w:rPr>
        <w:t>.</w:t>
      </w:r>
    </w:p>
    <w:p w14:paraId="56033EC0" w14:textId="77777777" w:rsidR="008324BC" w:rsidRPr="00382A8B" w:rsidRDefault="008324BC" w:rsidP="008324BC">
      <w:pPr>
        <w:spacing w:after="120" w:line="223" w:lineRule="atLeast"/>
        <w:jc w:val="center"/>
        <w:rPr>
          <w:rFonts w:ascii="Times New Roman" w:hAnsi="Times New Roman"/>
          <w:i/>
          <w:sz w:val="22"/>
          <w:szCs w:val="22"/>
        </w:rPr>
      </w:pPr>
      <w:r w:rsidRPr="00382A8B">
        <w:rPr>
          <w:rFonts w:ascii="Times New Roman" w:hAnsi="Times New Roman"/>
          <w:i/>
          <w:sz w:val="22"/>
          <w:szCs w:val="22"/>
        </w:rPr>
        <w:t>Quelle: Deutsche Bundesbank</w:t>
      </w:r>
    </w:p>
    <w:tbl>
      <w:tblPr>
        <w:tblStyle w:val="Tabellenraster"/>
        <w:tblW w:w="0" w:type="auto"/>
        <w:tblLook w:val="04A0" w:firstRow="1" w:lastRow="0" w:firstColumn="1" w:lastColumn="0" w:noHBand="0" w:noVBand="1"/>
      </w:tblPr>
      <w:tblGrid>
        <w:gridCol w:w="3962"/>
        <w:gridCol w:w="2549"/>
        <w:gridCol w:w="2549"/>
      </w:tblGrid>
      <w:tr w:rsidR="0093383F" w:rsidRPr="00966712" w14:paraId="7CBF85A0" w14:textId="77777777" w:rsidTr="009B482A">
        <w:trPr>
          <w:trHeight w:val="567"/>
        </w:trPr>
        <w:tc>
          <w:tcPr>
            <w:tcW w:w="3962" w:type="dxa"/>
            <w:shd w:val="pct10" w:color="auto" w:fill="auto"/>
            <w:vAlign w:val="center"/>
          </w:tcPr>
          <w:p w14:paraId="345B5E0C" w14:textId="71B6A272" w:rsidR="0093383F" w:rsidRPr="00966712" w:rsidRDefault="0093383F" w:rsidP="00160CEA">
            <w:pPr>
              <w:spacing w:line="300" w:lineRule="atLeast"/>
              <w:rPr>
                <w:rFonts w:ascii="Arial" w:hAnsi="Arial" w:cs="Arial"/>
                <w:b/>
                <w:sz w:val="18"/>
                <w:szCs w:val="18"/>
              </w:rPr>
            </w:pPr>
            <w:r w:rsidRPr="00966712">
              <w:rPr>
                <w:rFonts w:ascii="Arial" w:hAnsi="Arial" w:cs="Arial"/>
                <w:b/>
                <w:sz w:val="18"/>
                <w:szCs w:val="18"/>
              </w:rPr>
              <w:t>Lagerort</w:t>
            </w:r>
            <w:r w:rsidR="008324BC" w:rsidRPr="00966712">
              <w:rPr>
                <w:rFonts w:ascii="Arial" w:hAnsi="Arial" w:cs="Arial"/>
                <w:b/>
                <w:sz w:val="18"/>
                <w:szCs w:val="18"/>
              </w:rPr>
              <w:t>:</w:t>
            </w:r>
          </w:p>
        </w:tc>
        <w:tc>
          <w:tcPr>
            <w:tcW w:w="2549" w:type="dxa"/>
            <w:shd w:val="pct10" w:color="auto" w:fill="auto"/>
            <w:vAlign w:val="center"/>
          </w:tcPr>
          <w:p w14:paraId="3033C010" w14:textId="3838462D" w:rsidR="0093383F" w:rsidRPr="00966712" w:rsidRDefault="009F35EC" w:rsidP="00160CEA">
            <w:pPr>
              <w:spacing w:line="300" w:lineRule="atLeast"/>
              <w:jc w:val="center"/>
              <w:rPr>
                <w:rFonts w:ascii="Arial" w:hAnsi="Arial" w:cs="Arial"/>
                <w:b/>
                <w:sz w:val="18"/>
                <w:szCs w:val="18"/>
              </w:rPr>
            </w:pPr>
            <w:r w:rsidRPr="00966712">
              <w:rPr>
                <w:rFonts w:ascii="Arial" w:hAnsi="Arial" w:cs="Arial"/>
                <w:b/>
                <w:sz w:val="18"/>
                <w:szCs w:val="18"/>
              </w:rPr>
              <w:t>Bestand in Tonnen</w:t>
            </w:r>
            <w:r w:rsidR="00B14902" w:rsidRPr="00966712">
              <w:rPr>
                <w:rFonts w:ascii="Arial" w:hAnsi="Arial" w:cs="Arial"/>
                <w:b/>
                <w:sz w:val="18"/>
                <w:szCs w:val="18"/>
              </w:rPr>
              <w:t xml:space="preserve"> (Feingewicht)</w:t>
            </w:r>
          </w:p>
        </w:tc>
        <w:tc>
          <w:tcPr>
            <w:tcW w:w="2549" w:type="dxa"/>
            <w:shd w:val="pct10" w:color="auto" w:fill="auto"/>
            <w:vAlign w:val="center"/>
          </w:tcPr>
          <w:p w14:paraId="4C5BE726" w14:textId="27E7060B" w:rsidR="0093383F" w:rsidRPr="00966712" w:rsidRDefault="009F35EC" w:rsidP="00160CEA">
            <w:pPr>
              <w:spacing w:line="300" w:lineRule="atLeast"/>
              <w:jc w:val="center"/>
              <w:rPr>
                <w:rFonts w:ascii="Arial" w:hAnsi="Arial" w:cs="Arial"/>
                <w:b/>
                <w:sz w:val="18"/>
                <w:szCs w:val="18"/>
              </w:rPr>
            </w:pPr>
            <w:r w:rsidRPr="00966712">
              <w:rPr>
                <w:rFonts w:ascii="Arial" w:hAnsi="Arial" w:cs="Arial"/>
                <w:b/>
                <w:sz w:val="18"/>
                <w:szCs w:val="18"/>
              </w:rPr>
              <w:t>Anteil</w:t>
            </w:r>
            <w:r w:rsidR="00BC6555" w:rsidRPr="00966712">
              <w:rPr>
                <w:rFonts w:ascii="Arial" w:hAnsi="Arial" w:cs="Arial"/>
                <w:b/>
                <w:sz w:val="18"/>
                <w:szCs w:val="18"/>
              </w:rPr>
              <w:t xml:space="preserve"> in Prozent</w:t>
            </w:r>
          </w:p>
        </w:tc>
      </w:tr>
      <w:tr w:rsidR="003B3D63" w:rsidRPr="00966712" w14:paraId="2AB5A3FD" w14:textId="77777777" w:rsidTr="009B482A">
        <w:trPr>
          <w:trHeight w:val="340"/>
        </w:trPr>
        <w:tc>
          <w:tcPr>
            <w:tcW w:w="3962" w:type="dxa"/>
          </w:tcPr>
          <w:p w14:paraId="5A764FBF" w14:textId="0CA3E9B1" w:rsidR="003B3D63" w:rsidRPr="00966712" w:rsidRDefault="003B3D63" w:rsidP="003B3D63">
            <w:pPr>
              <w:spacing w:line="300" w:lineRule="atLeast"/>
              <w:jc w:val="both"/>
              <w:rPr>
                <w:rFonts w:ascii="Arial" w:hAnsi="Arial" w:cs="Arial"/>
                <w:sz w:val="18"/>
                <w:szCs w:val="18"/>
              </w:rPr>
            </w:pPr>
            <w:r w:rsidRPr="00966712">
              <w:rPr>
                <w:rFonts w:ascii="Arial" w:hAnsi="Arial" w:cs="Arial"/>
                <w:sz w:val="18"/>
                <w:szCs w:val="18"/>
              </w:rPr>
              <w:t>Deutsche Bundesbank; Frankfurt a. M.</w:t>
            </w:r>
          </w:p>
        </w:tc>
        <w:tc>
          <w:tcPr>
            <w:tcW w:w="2549" w:type="dxa"/>
            <w:vAlign w:val="center"/>
          </w:tcPr>
          <w:p w14:paraId="07DE3FB6" w14:textId="77215A48"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1.710</w:t>
            </w:r>
          </w:p>
        </w:tc>
        <w:tc>
          <w:tcPr>
            <w:tcW w:w="2549" w:type="dxa"/>
            <w:vAlign w:val="center"/>
          </w:tcPr>
          <w:p w14:paraId="743EDD1D" w14:textId="53D622B2"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50,</w:t>
            </w:r>
            <w:r w:rsidR="00BB6985" w:rsidRPr="00966712">
              <w:rPr>
                <w:rFonts w:ascii="Arial" w:hAnsi="Arial" w:cs="Arial"/>
                <w:sz w:val="18"/>
                <w:szCs w:val="18"/>
              </w:rPr>
              <w:t>9</w:t>
            </w:r>
            <w:r w:rsidRPr="00966712">
              <w:rPr>
                <w:rFonts w:ascii="Arial" w:hAnsi="Arial" w:cs="Arial"/>
                <w:sz w:val="18"/>
                <w:szCs w:val="18"/>
              </w:rPr>
              <w:t xml:space="preserve"> %</w:t>
            </w:r>
          </w:p>
        </w:tc>
      </w:tr>
      <w:tr w:rsidR="003B3D63" w:rsidRPr="00966712" w14:paraId="2AF5F246" w14:textId="77777777" w:rsidTr="009B482A">
        <w:trPr>
          <w:trHeight w:val="340"/>
        </w:trPr>
        <w:tc>
          <w:tcPr>
            <w:tcW w:w="3962" w:type="dxa"/>
          </w:tcPr>
          <w:p w14:paraId="1560DD88" w14:textId="59D74656" w:rsidR="003B3D63" w:rsidRPr="00966712" w:rsidRDefault="003B3D63" w:rsidP="003B3D63">
            <w:pPr>
              <w:spacing w:line="300" w:lineRule="atLeast"/>
              <w:jc w:val="both"/>
              <w:rPr>
                <w:rFonts w:ascii="Arial" w:hAnsi="Arial" w:cs="Arial"/>
                <w:sz w:val="18"/>
                <w:szCs w:val="18"/>
              </w:rPr>
            </w:pPr>
            <w:r w:rsidRPr="00966712">
              <w:rPr>
                <w:rFonts w:ascii="Arial" w:hAnsi="Arial" w:cs="Arial"/>
                <w:sz w:val="18"/>
                <w:szCs w:val="18"/>
              </w:rPr>
              <w:t>Federal Reserve Bank, New York</w:t>
            </w:r>
          </w:p>
        </w:tc>
        <w:tc>
          <w:tcPr>
            <w:tcW w:w="2549" w:type="dxa"/>
            <w:vAlign w:val="center"/>
          </w:tcPr>
          <w:p w14:paraId="401F5BDC" w14:textId="45E18F42"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1.236</w:t>
            </w:r>
          </w:p>
        </w:tc>
        <w:tc>
          <w:tcPr>
            <w:tcW w:w="2549" w:type="dxa"/>
            <w:vAlign w:val="center"/>
          </w:tcPr>
          <w:p w14:paraId="0E13DC45" w14:textId="3AB90C0E"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36,</w:t>
            </w:r>
            <w:r w:rsidR="00E74D13" w:rsidRPr="00966712">
              <w:rPr>
                <w:rFonts w:ascii="Arial" w:hAnsi="Arial" w:cs="Arial"/>
                <w:sz w:val="18"/>
                <w:szCs w:val="18"/>
              </w:rPr>
              <w:t>8</w:t>
            </w:r>
            <w:r w:rsidRPr="00966712">
              <w:rPr>
                <w:rFonts w:ascii="Arial" w:hAnsi="Arial" w:cs="Arial"/>
                <w:sz w:val="18"/>
                <w:szCs w:val="18"/>
              </w:rPr>
              <w:t xml:space="preserve"> %</w:t>
            </w:r>
          </w:p>
        </w:tc>
      </w:tr>
      <w:tr w:rsidR="003B3D63" w:rsidRPr="00966712" w14:paraId="4E648F25" w14:textId="77777777" w:rsidTr="009B482A">
        <w:trPr>
          <w:trHeight w:val="340"/>
        </w:trPr>
        <w:tc>
          <w:tcPr>
            <w:tcW w:w="3962" w:type="dxa"/>
          </w:tcPr>
          <w:p w14:paraId="385C2B8A" w14:textId="5A0D5921" w:rsidR="003B3D63" w:rsidRPr="00966712" w:rsidRDefault="003B3D63" w:rsidP="003B3D63">
            <w:pPr>
              <w:spacing w:line="300" w:lineRule="atLeast"/>
              <w:jc w:val="both"/>
              <w:rPr>
                <w:rFonts w:ascii="Arial" w:hAnsi="Arial" w:cs="Arial"/>
                <w:sz w:val="18"/>
                <w:szCs w:val="18"/>
              </w:rPr>
            </w:pPr>
            <w:r w:rsidRPr="00966712">
              <w:rPr>
                <w:rFonts w:ascii="Arial" w:hAnsi="Arial" w:cs="Arial"/>
                <w:sz w:val="18"/>
                <w:szCs w:val="18"/>
              </w:rPr>
              <w:t xml:space="preserve">Bank </w:t>
            </w:r>
            <w:proofErr w:type="spellStart"/>
            <w:r w:rsidRPr="00966712">
              <w:rPr>
                <w:rFonts w:ascii="Arial" w:hAnsi="Arial" w:cs="Arial"/>
                <w:sz w:val="18"/>
                <w:szCs w:val="18"/>
              </w:rPr>
              <w:t>of</w:t>
            </w:r>
            <w:proofErr w:type="spellEnd"/>
            <w:r w:rsidRPr="00966712">
              <w:rPr>
                <w:rFonts w:ascii="Arial" w:hAnsi="Arial" w:cs="Arial"/>
                <w:sz w:val="18"/>
                <w:szCs w:val="18"/>
              </w:rPr>
              <w:t xml:space="preserve"> England, London</w:t>
            </w:r>
          </w:p>
        </w:tc>
        <w:tc>
          <w:tcPr>
            <w:tcW w:w="2549" w:type="dxa"/>
            <w:vAlign w:val="center"/>
          </w:tcPr>
          <w:p w14:paraId="42FF2B3E" w14:textId="23C5B2D3"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4</w:t>
            </w:r>
            <w:r w:rsidR="009A176B" w:rsidRPr="00966712">
              <w:rPr>
                <w:rFonts w:ascii="Arial" w:hAnsi="Arial" w:cs="Arial"/>
                <w:sz w:val="18"/>
                <w:szCs w:val="18"/>
              </w:rPr>
              <w:t>13</w:t>
            </w:r>
          </w:p>
        </w:tc>
        <w:tc>
          <w:tcPr>
            <w:tcW w:w="2549" w:type="dxa"/>
            <w:vAlign w:val="center"/>
          </w:tcPr>
          <w:p w14:paraId="522AC8C2" w14:textId="55D01ED6"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12,</w:t>
            </w:r>
            <w:r w:rsidR="00E74D13" w:rsidRPr="00966712">
              <w:rPr>
                <w:rFonts w:ascii="Arial" w:hAnsi="Arial" w:cs="Arial"/>
                <w:sz w:val="18"/>
                <w:szCs w:val="18"/>
              </w:rPr>
              <w:t>3</w:t>
            </w:r>
            <w:r w:rsidRPr="00966712">
              <w:rPr>
                <w:rFonts w:ascii="Arial" w:hAnsi="Arial" w:cs="Arial"/>
                <w:sz w:val="18"/>
                <w:szCs w:val="18"/>
              </w:rPr>
              <w:t xml:space="preserve"> %</w:t>
            </w:r>
          </w:p>
        </w:tc>
      </w:tr>
      <w:tr w:rsidR="003B3D63" w:rsidRPr="00966712" w14:paraId="1964065F" w14:textId="77777777" w:rsidTr="009B482A">
        <w:trPr>
          <w:trHeight w:val="340"/>
        </w:trPr>
        <w:tc>
          <w:tcPr>
            <w:tcW w:w="3962" w:type="dxa"/>
          </w:tcPr>
          <w:p w14:paraId="02D46206" w14:textId="54F5A635" w:rsidR="003B3D63" w:rsidRPr="00966712" w:rsidRDefault="009B482A" w:rsidP="003B3D63">
            <w:pPr>
              <w:spacing w:line="300" w:lineRule="atLeast"/>
              <w:jc w:val="both"/>
              <w:rPr>
                <w:rFonts w:ascii="Arial" w:hAnsi="Arial" w:cs="Arial"/>
                <w:sz w:val="18"/>
                <w:szCs w:val="18"/>
              </w:rPr>
            </w:pPr>
            <w:r w:rsidRPr="00966712">
              <w:rPr>
                <w:rFonts w:ascii="Arial" w:hAnsi="Arial" w:cs="Arial"/>
                <w:sz w:val="18"/>
                <w:szCs w:val="18"/>
              </w:rPr>
              <w:t>g</w:t>
            </w:r>
            <w:r w:rsidR="003B3D63" w:rsidRPr="00966712">
              <w:rPr>
                <w:rFonts w:ascii="Arial" w:hAnsi="Arial" w:cs="Arial"/>
                <w:sz w:val="18"/>
                <w:szCs w:val="18"/>
              </w:rPr>
              <w:t>esamt</w:t>
            </w:r>
          </w:p>
        </w:tc>
        <w:tc>
          <w:tcPr>
            <w:tcW w:w="2549" w:type="dxa"/>
            <w:vAlign w:val="center"/>
          </w:tcPr>
          <w:p w14:paraId="28C14304" w14:textId="0B0D0E20"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3.3</w:t>
            </w:r>
            <w:r w:rsidR="00B14902" w:rsidRPr="00966712">
              <w:rPr>
                <w:rFonts w:ascii="Arial" w:hAnsi="Arial" w:cs="Arial"/>
                <w:sz w:val="18"/>
                <w:szCs w:val="18"/>
              </w:rPr>
              <w:t>59</w:t>
            </w:r>
          </w:p>
        </w:tc>
        <w:tc>
          <w:tcPr>
            <w:tcW w:w="2549" w:type="dxa"/>
            <w:vAlign w:val="center"/>
          </w:tcPr>
          <w:p w14:paraId="1934CB32" w14:textId="7CB611FF" w:rsidR="003B3D63" w:rsidRPr="00966712" w:rsidRDefault="003B3D63" w:rsidP="003B3D63">
            <w:pPr>
              <w:spacing w:line="300" w:lineRule="atLeast"/>
              <w:jc w:val="right"/>
              <w:rPr>
                <w:rFonts w:ascii="Arial" w:hAnsi="Arial" w:cs="Arial"/>
                <w:sz w:val="18"/>
                <w:szCs w:val="18"/>
              </w:rPr>
            </w:pPr>
            <w:r w:rsidRPr="00966712">
              <w:rPr>
                <w:rFonts w:ascii="Arial" w:hAnsi="Arial" w:cs="Arial"/>
                <w:sz w:val="18"/>
                <w:szCs w:val="18"/>
              </w:rPr>
              <w:t>100,0 %</w:t>
            </w:r>
          </w:p>
        </w:tc>
      </w:tr>
    </w:tbl>
    <w:p w14:paraId="02CE2A32" w14:textId="77777777" w:rsidR="009B482A" w:rsidRPr="00382A8B" w:rsidRDefault="009B482A" w:rsidP="00CC243A">
      <w:pPr>
        <w:pStyle w:val="StandardWeb"/>
        <w:spacing w:before="0" w:beforeAutospacing="0" w:after="0" w:afterAutospacing="0" w:line="300" w:lineRule="atLeast"/>
        <w:jc w:val="both"/>
        <w:rPr>
          <w:rStyle w:val="textnormal1"/>
          <w:rFonts w:ascii="Times New Roman" w:hAnsi="Times New Roman"/>
          <w:sz w:val="22"/>
          <w:szCs w:val="22"/>
        </w:rPr>
      </w:pPr>
    </w:p>
    <w:p w14:paraId="1BE810A1" w14:textId="3074C392" w:rsidR="00282FD7" w:rsidRPr="00382A8B" w:rsidRDefault="009D4860" w:rsidP="00CC243A">
      <w:pPr>
        <w:pStyle w:val="StandardWeb"/>
        <w:spacing w:before="0" w:beforeAutospacing="0" w:after="0" w:afterAutospacing="0" w:line="300" w:lineRule="atLeast"/>
        <w:jc w:val="both"/>
        <w:rPr>
          <w:rFonts w:ascii="Times New Roman" w:hAnsi="Times New Roman"/>
          <w:b/>
          <w:bCs/>
          <w:sz w:val="22"/>
          <w:szCs w:val="22"/>
        </w:rPr>
      </w:pPr>
      <w:r w:rsidRPr="00382A8B">
        <w:rPr>
          <w:rFonts w:ascii="Times New Roman" w:hAnsi="Times New Roman"/>
          <w:b/>
          <w:bCs/>
          <w:sz w:val="22"/>
          <w:szCs w:val="22"/>
        </w:rPr>
        <w:t xml:space="preserve">Kanäle </w:t>
      </w:r>
      <w:r w:rsidR="000515DA" w:rsidRPr="00382A8B">
        <w:rPr>
          <w:rFonts w:ascii="Times New Roman" w:hAnsi="Times New Roman"/>
          <w:b/>
          <w:bCs/>
          <w:sz w:val="22"/>
          <w:szCs w:val="22"/>
        </w:rPr>
        <w:t>der Veränderung von</w:t>
      </w:r>
      <w:r w:rsidR="00607D0D" w:rsidRPr="00382A8B">
        <w:rPr>
          <w:rFonts w:ascii="Times New Roman" w:hAnsi="Times New Roman"/>
          <w:b/>
          <w:bCs/>
          <w:sz w:val="22"/>
          <w:szCs w:val="22"/>
        </w:rPr>
        <w:t xml:space="preserve"> Währungsreserven</w:t>
      </w:r>
    </w:p>
    <w:p w14:paraId="36C5416E" w14:textId="77CD594F" w:rsidR="00324F68" w:rsidRPr="00382A8B" w:rsidRDefault="00380710" w:rsidP="00324F68">
      <w:pPr>
        <w:pStyle w:val="StandardWeb"/>
        <w:spacing w:before="0" w:beforeAutospacing="0" w:after="0" w:afterAutospacing="0" w:line="300" w:lineRule="atLeast"/>
        <w:jc w:val="both"/>
        <w:rPr>
          <w:rFonts w:ascii="Times New Roman" w:hAnsi="Times New Roman"/>
          <w:sz w:val="22"/>
          <w:szCs w:val="22"/>
        </w:rPr>
      </w:pPr>
      <w:r w:rsidRPr="00382A8B">
        <w:rPr>
          <w:rFonts w:ascii="Times New Roman" w:hAnsi="Times New Roman"/>
          <w:sz w:val="22"/>
          <w:szCs w:val="22"/>
        </w:rPr>
        <w:t xml:space="preserve">Neben Gold </w:t>
      </w:r>
      <w:r w:rsidR="00184597" w:rsidRPr="00382A8B">
        <w:rPr>
          <w:rFonts w:ascii="Times New Roman" w:hAnsi="Times New Roman"/>
          <w:sz w:val="22"/>
          <w:szCs w:val="22"/>
        </w:rPr>
        <w:t>spielen auch andere Vermö</w:t>
      </w:r>
      <w:r w:rsidR="0015436C" w:rsidRPr="00382A8B">
        <w:rPr>
          <w:rFonts w:ascii="Times New Roman" w:hAnsi="Times New Roman"/>
          <w:sz w:val="22"/>
          <w:szCs w:val="22"/>
        </w:rPr>
        <w:t xml:space="preserve">genswerte eine Rolle als Währungsreserven. </w:t>
      </w:r>
      <w:r w:rsidR="00324F68" w:rsidRPr="00382A8B">
        <w:rPr>
          <w:rFonts w:ascii="Times New Roman" w:hAnsi="Times New Roman"/>
          <w:sz w:val="22"/>
          <w:szCs w:val="22"/>
        </w:rPr>
        <w:t>Ein Land kann auf verschiedene Wege in den Besitz von Währungsreserven gelangen:</w:t>
      </w:r>
    </w:p>
    <w:p w14:paraId="486BF01A" w14:textId="77777777" w:rsidR="00324F68" w:rsidRPr="00382A8B" w:rsidRDefault="00324F68" w:rsidP="00324F68">
      <w:pPr>
        <w:pStyle w:val="StandardWeb"/>
        <w:spacing w:before="0" w:beforeAutospacing="0" w:after="0" w:afterAutospacing="0" w:line="300" w:lineRule="atLeast"/>
        <w:jc w:val="both"/>
        <w:rPr>
          <w:rFonts w:ascii="Times New Roman" w:hAnsi="Times New Roman"/>
          <w:sz w:val="22"/>
          <w:szCs w:val="22"/>
        </w:rPr>
      </w:pPr>
    </w:p>
    <w:p w14:paraId="6FE6F8CC" w14:textId="77777777" w:rsidR="00324F68" w:rsidRPr="00382A8B" w:rsidRDefault="00324F68" w:rsidP="00324F68">
      <w:pPr>
        <w:numPr>
          <w:ilvl w:val="0"/>
          <w:numId w:val="1"/>
        </w:numPr>
        <w:tabs>
          <w:tab w:val="clear" w:pos="720"/>
          <w:tab w:val="num" w:pos="426"/>
        </w:tabs>
        <w:spacing w:line="300" w:lineRule="atLeast"/>
        <w:ind w:left="0" w:firstLine="0"/>
        <w:jc w:val="both"/>
        <w:rPr>
          <w:rFonts w:ascii="Times New Roman" w:hAnsi="Times New Roman" w:cs="Times New Roman"/>
          <w:bCs w:val="0"/>
          <w:sz w:val="22"/>
          <w:szCs w:val="22"/>
        </w:rPr>
      </w:pPr>
      <w:r w:rsidRPr="00382A8B">
        <w:rPr>
          <w:rFonts w:ascii="Times New Roman" w:hAnsi="Times New Roman" w:cs="Times New Roman"/>
          <w:bCs w:val="0"/>
          <w:sz w:val="22"/>
          <w:szCs w:val="22"/>
        </w:rPr>
        <w:t>Leistungsbilanzüberschüsse,</w:t>
      </w:r>
    </w:p>
    <w:p w14:paraId="0AE3A4C5" w14:textId="77777777" w:rsidR="00324F68" w:rsidRPr="00382A8B" w:rsidRDefault="00324F68" w:rsidP="00324F68">
      <w:pPr>
        <w:numPr>
          <w:ilvl w:val="0"/>
          <w:numId w:val="1"/>
        </w:numPr>
        <w:tabs>
          <w:tab w:val="clear" w:pos="720"/>
          <w:tab w:val="num" w:pos="426"/>
        </w:tabs>
        <w:spacing w:line="300" w:lineRule="atLeast"/>
        <w:ind w:left="0" w:firstLine="0"/>
        <w:jc w:val="both"/>
        <w:rPr>
          <w:rFonts w:ascii="Times New Roman" w:hAnsi="Times New Roman" w:cs="Times New Roman"/>
          <w:bCs w:val="0"/>
          <w:sz w:val="22"/>
          <w:szCs w:val="22"/>
        </w:rPr>
      </w:pPr>
      <w:r w:rsidRPr="00382A8B">
        <w:rPr>
          <w:rFonts w:ascii="Times New Roman" w:hAnsi="Times New Roman" w:cs="Times New Roman"/>
          <w:bCs w:val="0"/>
          <w:sz w:val="22"/>
          <w:szCs w:val="22"/>
        </w:rPr>
        <w:t>Kredite,</w:t>
      </w:r>
    </w:p>
    <w:p w14:paraId="5A34DA61" w14:textId="77777777" w:rsidR="00324F68" w:rsidRPr="00382A8B" w:rsidRDefault="00324F68" w:rsidP="00324F68">
      <w:pPr>
        <w:numPr>
          <w:ilvl w:val="0"/>
          <w:numId w:val="1"/>
        </w:numPr>
        <w:tabs>
          <w:tab w:val="clear" w:pos="720"/>
          <w:tab w:val="num" w:pos="426"/>
        </w:tabs>
        <w:spacing w:line="300" w:lineRule="atLeast"/>
        <w:ind w:left="0" w:firstLine="0"/>
        <w:jc w:val="both"/>
        <w:rPr>
          <w:rFonts w:ascii="Times New Roman" w:hAnsi="Times New Roman" w:cs="Times New Roman"/>
          <w:bCs w:val="0"/>
          <w:sz w:val="22"/>
          <w:szCs w:val="22"/>
        </w:rPr>
      </w:pPr>
      <w:r w:rsidRPr="00382A8B">
        <w:rPr>
          <w:rFonts w:ascii="Times New Roman" w:hAnsi="Times New Roman" w:cs="Times New Roman"/>
          <w:bCs w:val="0"/>
          <w:sz w:val="22"/>
          <w:szCs w:val="22"/>
        </w:rPr>
        <w:t>Kauf von Währungen,</w:t>
      </w:r>
    </w:p>
    <w:p w14:paraId="38AA99A6" w14:textId="6BBD90FB" w:rsidR="00324F68" w:rsidRPr="00382A8B" w:rsidRDefault="00324F68" w:rsidP="00324F68">
      <w:pPr>
        <w:numPr>
          <w:ilvl w:val="0"/>
          <w:numId w:val="1"/>
        </w:numPr>
        <w:tabs>
          <w:tab w:val="clear" w:pos="720"/>
          <w:tab w:val="num" w:pos="426"/>
        </w:tabs>
        <w:spacing w:line="300" w:lineRule="atLeast"/>
        <w:ind w:left="0" w:firstLine="0"/>
        <w:jc w:val="both"/>
        <w:rPr>
          <w:rFonts w:ascii="Times New Roman" w:hAnsi="Times New Roman" w:cs="Times New Roman"/>
          <w:bCs w:val="0"/>
          <w:sz w:val="22"/>
          <w:szCs w:val="22"/>
        </w:rPr>
      </w:pPr>
      <w:r w:rsidRPr="00382A8B">
        <w:rPr>
          <w:rFonts w:ascii="Times New Roman" w:hAnsi="Times New Roman" w:cs="Times New Roman"/>
          <w:bCs w:val="0"/>
          <w:sz w:val="22"/>
          <w:szCs w:val="22"/>
        </w:rPr>
        <w:t>Zuteilung von Währungen (z.</w:t>
      </w:r>
      <w:r w:rsidR="002970BA" w:rsidRPr="00382A8B">
        <w:rPr>
          <w:rFonts w:ascii="Times New Roman" w:hAnsi="Times New Roman" w:cs="Times New Roman"/>
          <w:bCs w:val="0"/>
          <w:sz w:val="22"/>
          <w:szCs w:val="22"/>
        </w:rPr>
        <w:t xml:space="preserve"> </w:t>
      </w:r>
      <w:r w:rsidRPr="00382A8B">
        <w:rPr>
          <w:rFonts w:ascii="Times New Roman" w:hAnsi="Times New Roman" w:cs="Times New Roman"/>
          <w:bCs w:val="0"/>
          <w:sz w:val="22"/>
          <w:szCs w:val="22"/>
        </w:rPr>
        <w:t>B. vom Internationalen Währungsfonds),</w:t>
      </w:r>
    </w:p>
    <w:p w14:paraId="03D54A0D" w14:textId="626FCB38" w:rsidR="00324F68" w:rsidRPr="00382A8B" w:rsidRDefault="00324F68" w:rsidP="00324F68">
      <w:pPr>
        <w:numPr>
          <w:ilvl w:val="0"/>
          <w:numId w:val="1"/>
        </w:numPr>
        <w:tabs>
          <w:tab w:val="clear" w:pos="720"/>
          <w:tab w:val="num" w:pos="426"/>
        </w:tabs>
        <w:spacing w:line="300" w:lineRule="atLeast"/>
        <w:ind w:left="0" w:firstLine="0"/>
        <w:jc w:val="both"/>
        <w:rPr>
          <w:rFonts w:ascii="Times New Roman" w:hAnsi="Times New Roman" w:cs="Times New Roman"/>
          <w:bCs w:val="0"/>
          <w:sz w:val="22"/>
          <w:szCs w:val="22"/>
        </w:rPr>
      </w:pPr>
      <w:r w:rsidRPr="00382A8B">
        <w:rPr>
          <w:rFonts w:ascii="Times New Roman" w:hAnsi="Times New Roman" w:cs="Times New Roman"/>
          <w:bCs w:val="0"/>
          <w:sz w:val="22"/>
          <w:szCs w:val="22"/>
        </w:rPr>
        <w:t>Eigenproduktion (z.</w:t>
      </w:r>
      <w:r w:rsidR="002970BA" w:rsidRPr="00382A8B">
        <w:rPr>
          <w:rFonts w:ascii="Times New Roman" w:hAnsi="Times New Roman" w:cs="Times New Roman"/>
          <w:bCs w:val="0"/>
          <w:sz w:val="22"/>
          <w:szCs w:val="22"/>
        </w:rPr>
        <w:t xml:space="preserve"> </w:t>
      </w:r>
      <w:r w:rsidRPr="00382A8B">
        <w:rPr>
          <w:rFonts w:ascii="Times New Roman" w:hAnsi="Times New Roman" w:cs="Times New Roman"/>
          <w:bCs w:val="0"/>
          <w:sz w:val="22"/>
          <w:szCs w:val="22"/>
        </w:rPr>
        <w:t>B. von Gold, US-$ durch US-Notenbank).</w:t>
      </w:r>
    </w:p>
    <w:p w14:paraId="288698E9" w14:textId="77777777" w:rsidR="00324F68" w:rsidRPr="00382A8B" w:rsidRDefault="00324F68" w:rsidP="00324F68">
      <w:pPr>
        <w:spacing w:line="300" w:lineRule="atLeast"/>
        <w:jc w:val="both"/>
        <w:rPr>
          <w:rFonts w:ascii="Times New Roman" w:hAnsi="Times New Roman" w:cs="Times New Roman"/>
          <w:bCs w:val="0"/>
          <w:sz w:val="22"/>
          <w:szCs w:val="22"/>
        </w:rPr>
      </w:pPr>
    </w:p>
    <w:p w14:paraId="4EA4E15C" w14:textId="28012FF4" w:rsidR="00324F68" w:rsidRPr="00382A8B" w:rsidRDefault="00324F68" w:rsidP="00324F68">
      <w:pPr>
        <w:spacing w:line="300" w:lineRule="atLeast"/>
        <w:jc w:val="both"/>
        <w:rPr>
          <w:rFonts w:ascii="Times New Roman" w:hAnsi="Times New Roman" w:cs="Times New Roman"/>
          <w:bCs w:val="0"/>
          <w:sz w:val="22"/>
          <w:szCs w:val="22"/>
        </w:rPr>
      </w:pPr>
      <w:r w:rsidRPr="00382A8B">
        <w:rPr>
          <w:rFonts w:ascii="Times New Roman" w:hAnsi="Times New Roman" w:cs="Times New Roman"/>
          <w:bCs w:val="0"/>
          <w:sz w:val="22"/>
          <w:szCs w:val="22"/>
        </w:rPr>
        <w:t xml:space="preserve">Ob und inwieweit sich die Devisenbilanz ändert, hängt auch von der Konstruktion des </w:t>
      </w:r>
      <w:r w:rsidRPr="00382A8B">
        <w:rPr>
          <w:rFonts w:ascii="Times New Roman" w:hAnsi="Times New Roman" w:cs="Times New Roman"/>
          <w:b/>
          <w:sz w:val="22"/>
          <w:szCs w:val="22"/>
        </w:rPr>
        <w:t>internationalen Währungssystems</w:t>
      </w:r>
      <w:r w:rsidRPr="00382A8B">
        <w:rPr>
          <w:rFonts w:ascii="Times New Roman" w:hAnsi="Times New Roman" w:cs="Times New Roman"/>
          <w:bCs w:val="0"/>
          <w:sz w:val="22"/>
          <w:szCs w:val="22"/>
        </w:rPr>
        <w:t xml:space="preserve"> ab. In einem Währungssystem mit Interventionszwang der Zentralbanken zur Stabilisierung der Wechselkurse (i.d.R. im Rahmen einer engen Bandbreite) verändern sich durch Kauf oder Verkauf von Devisen die Währungsreserven und die Geldmenge. Nehmen wir z.</w:t>
      </w:r>
      <w:r w:rsidR="00DA2E30" w:rsidRPr="00382A8B">
        <w:rPr>
          <w:rFonts w:ascii="Times New Roman" w:hAnsi="Times New Roman" w:cs="Times New Roman"/>
          <w:bCs w:val="0"/>
          <w:sz w:val="22"/>
          <w:szCs w:val="22"/>
        </w:rPr>
        <w:t xml:space="preserve"> </w:t>
      </w:r>
      <w:r w:rsidRPr="00382A8B">
        <w:rPr>
          <w:rFonts w:ascii="Times New Roman" w:hAnsi="Times New Roman" w:cs="Times New Roman"/>
          <w:bCs w:val="0"/>
          <w:sz w:val="22"/>
          <w:szCs w:val="22"/>
        </w:rPr>
        <w:t xml:space="preserve">B. </w:t>
      </w:r>
      <w:r w:rsidRPr="00382A8B">
        <w:rPr>
          <w:rFonts w:ascii="Times New Roman" w:hAnsi="Times New Roman" w:cs="Times New Roman"/>
          <w:b/>
          <w:bCs w:val="0"/>
          <w:sz w:val="22"/>
          <w:szCs w:val="22"/>
        </w:rPr>
        <w:t>feste Wechselkurse</w:t>
      </w:r>
      <w:r w:rsidRPr="00382A8B">
        <w:rPr>
          <w:rFonts w:ascii="Times New Roman" w:hAnsi="Times New Roman" w:cs="Times New Roman"/>
          <w:bCs w:val="0"/>
          <w:sz w:val="22"/>
          <w:szCs w:val="22"/>
        </w:rPr>
        <w:t xml:space="preserve"> zwischen dem € und dem US-$ an, so bestehen folgende Zusammenhänge:</w:t>
      </w:r>
    </w:p>
    <w:p w14:paraId="26666189" w14:textId="77777777" w:rsidR="00324F68" w:rsidRPr="00382A8B" w:rsidRDefault="00324F68" w:rsidP="00324F68">
      <w:pPr>
        <w:spacing w:line="300" w:lineRule="atLeast"/>
        <w:jc w:val="both"/>
        <w:rPr>
          <w:rFonts w:ascii="Times New Roman" w:hAnsi="Times New Roman" w:cs="Times New Roman"/>
          <w:bCs w:val="0"/>
          <w:sz w:val="22"/>
          <w:szCs w:val="22"/>
        </w:rPr>
      </w:pPr>
    </w:p>
    <w:tbl>
      <w:tblPr>
        <w:tblStyle w:val="Tabellenraster"/>
        <w:tblW w:w="0" w:type="auto"/>
        <w:tblInd w:w="108" w:type="dxa"/>
        <w:tblLook w:val="01E0" w:firstRow="1" w:lastRow="1" w:firstColumn="1" w:lastColumn="1" w:noHBand="0" w:noVBand="0"/>
      </w:tblPr>
      <w:tblGrid>
        <w:gridCol w:w="2835"/>
        <w:gridCol w:w="2835"/>
        <w:gridCol w:w="2694"/>
      </w:tblGrid>
      <w:tr w:rsidR="00324F68" w:rsidRPr="00382A8B" w14:paraId="2D38A16A" w14:textId="77777777" w:rsidTr="009B482A">
        <w:trPr>
          <w:trHeight w:val="567"/>
        </w:trPr>
        <w:tc>
          <w:tcPr>
            <w:tcW w:w="2835" w:type="dxa"/>
            <w:shd w:val="clear" w:color="auto" w:fill="D9D9D9" w:themeFill="background1" w:themeFillShade="D9"/>
            <w:vAlign w:val="center"/>
          </w:tcPr>
          <w:p w14:paraId="40B899D0" w14:textId="77777777" w:rsidR="00324F68" w:rsidRPr="00382A8B" w:rsidRDefault="00324F68" w:rsidP="000F200E">
            <w:pPr>
              <w:rPr>
                <w:rFonts w:ascii="Arial" w:hAnsi="Arial" w:cs="Arial"/>
                <w:bCs w:val="0"/>
                <w:sz w:val="18"/>
                <w:szCs w:val="18"/>
              </w:rPr>
            </w:pPr>
            <w:r w:rsidRPr="00382A8B">
              <w:rPr>
                <w:rFonts w:ascii="Arial" w:hAnsi="Arial" w:cs="Arial"/>
                <w:bCs w:val="0"/>
                <w:sz w:val="18"/>
                <w:szCs w:val="18"/>
              </w:rPr>
              <w:t>Intervention der Notenbank</w:t>
            </w:r>
          </w:p>
        </w:tc>
        <w:tc>
          <w:tcPr>
            <w:tcW w:w="2835" w:type="dxa"/>
            <w:shd w:val="clear" w:color="auto" w:fill="D9D9D9" w:themeFill="background1" w:themeFillShade="D9"/>
            <w:vAlign w:val="center"/>
          </w:tcPr>
          <w:p w14:paraId="04F1A0A0"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Abwertungstendenz des €</w:t>
            </w:r>
          </w:p>
          <w:p w14:paraId="44ABC85B"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gegenüber dem US-$</w:t>
            </w:r>
          </w:p>
        </w:tc>
        <w:tc>
          <w:tcPr>
            <w:tcW w:w="2694" w:type="dxa"/>
            <w:shd w:val="clear" w:color="auto" w:fill="D9D9D9" w:themeFill="background1" w:themeFillShade="D9"/>
            <w:vAlign w:val="center"/>
          </w:tcPr>
          <w:p w14:paraId="0D3227AC"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Aufwertungstendenz des €</w:t>
            </w:r>
          </w:p>
          <w:p w14:paraId="5828B871"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gegenüber dem US-$</w:t>
            </w:r>
          </w:p>
        </w:tc>
      </w:tr>
      <w:tr w:rsidR="00324F68" w:rsidRPr="00382A8B" w14:paraId="3D193FAB" w14:textId="77777777" w:rsidTr="009B482A">
        <w:trPr>
          <w:trHeight w:val="567"/>
        </w:trPr>
        <w:tc>
          <w:tcPr>
            <w:tcW w:w="2835" w:type="dxa"/>
            <w:vAlign w:val="center"/>
          </w:tcPr>
          <w:p w14:paraId="70953B98" w14:textId="77777777" w:rsidR="00324F68" w:rsidRPr="00382A8B" w:rsidRDefault="00324F68" w:rsidP="000F200E">
            <w:pPr>
              <w:rPr>
                <w:rFonts w:ascii="Arial" w:hAnsi="Arial" w:cs="Arial"/>
                <w:bCs w:val="0"/>
                <w:sz w:val="18"/>
                <w:szCs w:val="18"/>
              </w:rPr>
            </w:pPr>
            <w:r w:rsidRPr="00382A8B">
              <w:rPr>
                <w:rFonts w:ascii="Arial" w:hAnsi="Arial" w:cs="Arial"/>
                <w:bCs w:val="0"/>
                <w:sz w:val="18"/>
                <w:szCs w:val="18"/>
              </w:rPr>
              <w:t>Richtung</w:t>
            </w:r>
          </w:p>
        </w:tc>
        <w:tc>
          <w:tcPr>
            <w:tcW w:w="2835" w:type="dxa"/>
            <w:vAlign w:val="center"/>
          </w:tcPr>
          <w:p w14:paraId="281C1920"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Ankauf von €,</w:t>
            </w:r>
          </w:p>
          <w:p w14:paraId="58FCB179"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Verkauf von US-$</w:t>
            </w:r>
          </w:p>
        </w:tc>
        <w:tc>
          <w:tcPr>
            <w:tcW w:w="2694" w:type="dxa"/>
            <w:vAlign w:val="center"/>
          </w:tcPr>
          <w:p w14:paraId="7131486B"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Verkauf von €,</w:t>
            </w:r>
          </w:p>
          <w:p w14:paraId="0AB42C6E"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Ankauf von US-$</w:t>
            </w:r>
          </w:p>
        </w:tc>
      </w:tr>
      <w:tr w:rsidR="00324F68" w:rsidRPr="00382A8B" w14:paraId="45FDFAC4" w14:textId="77777777" w:rsidTr="009B482A">
        <w:trPr>
          <w:trHeight w:val="567"/>
        </w:trPr>
        <w:tc>
          <w:tcPr>
            <w:tcW w:w="2835" w:type="dxa"/>
            <w:vAlign w:val="center"/>
          </w:tcPr>
          <w:p w14:paraId="0CAC5672" w14:textId="77777777" w:rsidR="00324F68" w:rsidRPr="00382A8B" w:rsidRDefault="00324F68" w:rsidP="000F200E">
            <w:pPr>
              <w:rPr>
                <w:rFonts w:ascii="Arial" w:hAnsi="Arial" w:cs="Arial"/>
                <w:bCs w:val="0"/>
                <w:sz w:val="18"/>
                <w:szCs w:val="18"/>
              </w:rPr>
            </w:pPr>
            <w:r w:rsidRPr="00382A8B">
              <w:rPr>
                <w:rFonts w:ascii="Arial" w:hAnsi="Arial" w:cs="Arial"/>
                <w:bCs w:val="0"/>
                <w:sz w:val="18"/>
                <w:szCs w:val="18"/>
              </w:rPr>
              <w:t>Devisenreserven</w:t>
            </w:r>
          </w:p>
        </w:tc>
        <w:tc>
          <w:tcPr>
            <w:tcW w:w="2835" w:type="dxa"/>
            <w:vAlign w:val="center"/>
          </w:tcPr>
          <w:p w14:paraId="4A7D064A"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sinken</w:t>
            </w:r>
          </w:p>
        </w:tc>
        <w:tc>
          <w:tcPr>
            <w:tcW w:w="2694" w:type="dxa"/>
            <w:vAlign w:val="center"/>
          </w:tcPr>
          <w:p w14:paraId="39672B89"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steigen</w:t>
            </w:r>
          </w:p>
        </w:tc>
      </w:tr>
      <w:tr w:rsidR="00324F68" w:rsidRPr="00382A8B" w14:paraId="736FF346" w14:textId="77777777" w:rsidTr="009B482A">
        <w:trPr>
          <w:trHeight w:val="567"/>
        </w:trPr>
        <w:tc>
          <w:tcPr>
            <w:tcW w:w="2835" w:type="dxa"/>
            <w:vAlign w:val="center"/>
          </w:tcPr>
          <w:p w14:paraId="3B89FC6F" w14:textId="15DCF794" w:rsidR="00324F68" w:rsidRPr="00382A8B" w:rsidRDefault="00DA2E30" w:rsidP="000F200E">
            <w:pPr>
              <w:rPr>
                <w:rFonts w:ascii="Arial" w:hAnsi="Arial" w:cs="Arial"/>
                <w:bCs w:val="0"/>
                <w:sz w:val="18"/>
                <w:szCs w:val="18"/>
              </w:rPr>
            </w:pPr>
            <w:r w:rsidRPr="00382A8B">
              <w:rPr>
                <w:rFonts w:ascii="Arial" w:hAnsi="Arial" w:cs="Arial"/>
                <w:bCs w:val="0"/>
                <w:sz w:val="18"/>
                <w:szCs w:val="18"/>
              </w:rPr>
              <w:t>€</w:t>
            </w:r>
            <w:r w:rsidR="00324F68" w:rsidRPr="00382A8B">
              <w:rPr>
                <w:rFonts w:ascii="Arial" w:hAnsi="Arial" w:cs="Arial"/>
                <w:bCs w:val="0"/>
                <w:sz w:val="18"/>
                <w:szCs w:val="18"/>
              </w:rPr>
              <w:t>-Geldmenge</w:t>
            </w:r>
          </w:p>
        </w:tc>
        <w:tc>
          <w:tcPr>
            <w:tcW w:w="2835" w:type="dxa"/>
            <w:vAlign w:val="center"/>
          </w:tcPr>
          <w:p w14:paraId="37A5EFE3"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sinkt</w:t>
            </w:r>
          </w:p>
        </w:tc>
        <w:tc>
          <w:tcPr>
            <w:tcW w:w="2694" w:type="dxa"/>
            <w:vAlign w:val="center"/>
          </w:tcPr>
          <w:p w14:paraId="73F0AED4" w14:textId="77777777" w:rsidR="00324F68" w:rsidRPr="00382A8B" w:rsidRDefault="00324F68" w:rsidP="000F200E">
            <w:pPr>
              <w:jc w:val="center"/>
              <w:rPr>
                <w:rFonts w:ascii="Arial" w:hAnsi="Arial" w:cs="Arial"/>
                <w:bCs w:val="0"/>
                <w:sz w:val="18"/>
                <w:szCs w:val="18"/>
              </w:rPr>
            </w:pPr>
            <w:r w:rsidRPr="00382A8B">
              <w:rPr>
                <w:rFonts w:ascii="Arial" w:hAnsi="Arial" w:cs="Arial"/>
                <w:bCs w:val="0"/>
                <w:sz w:val="18"/>
                <w:szCs w:val="18"/>
              </w:rPr>
              <w:t>steigt</w:t>
            </w:r>
          </w:p>
        </w:tc>
      </w:tr>
    </w:tbl>
    <w:p w14:paraId="28D4B2CD" w14:textId="77777777" w:rsidR="00324F68" w:rsidRPr="00382A8B" w:rsidRDefault="00324F68" w:rsidP="00324F68">
      <w:pPr>
        <w:spacing w:line="300" w:lineRule="atLeast"/>
        <w:jc w:val="both"/>
        <w:rPr>
          <w:rFonts w:ascii="Times New Roman" w:hAnsi="Times New Roman" w:cs="Times New Roman"/>
          <w:bCs w:val="0"/>
          <w:sz w:val="22"/>
          <w:szCs w:val="22"/>
        </w:rPr>
      </w:pPr>
    </w:p>
    <w:p w14:paraId="402A5E3F" w14:textId="5641D363" w:rsidR="00D05F1B" w:rsidRPr="0033192D" w:rsidRDefault="00324F68" w:rsidP="00324F68">
      <w:pPr>
        <w:rPr>
          <w:rFonts w:ascii="Times New Roman" w:hAnsi="Times New Roman" w:cs="Times New Roman"/>
          <w:bCs w:val="0"/>
          <w:sz w:val="22"/>
          <w:szCs w:val="22"/>
        </w:rPr>
      </w:pPr>
      <w:r w:rsidRPr="00382A8B">
        <w:rPr>
          <w:rFonts w:ascii="Times New Roman" w:hAnsi="Times New Roman" w:cs="Times New Roman"/>
          <w:sz w:val="22"/>
          <w:szCs w:val="22"/>
        </w:rPr>
        <w:t xml:space="preserve">In einem System </w:t>
      </w:r>
      <w:r w:rsidRPr="00382A8B">
        <w:rPr>
          <w:rFonts w:ascii="Times New Roman" w:hAnsi="Times New Roman" w:cs="Times New Roman"/>
          <w:b/>
          <w:sz w:val="22"/>
          <w:szCs w:val="22"/>
        </w:rPr>
        <w:t>flexibler Wechselkurse</w:t>
      </w:r>
      <w:r w:rsidRPr="00382A8B">
        <w:rPr>
          <w:rFonts w:ascii="Times New Roman" w:hAnsi="Times New Roman" w:cs="Times New Roman"/>
          <w:sz w:val="22"/>
          <w:szCs w:val="22"/>
        </w:rPr>
        <w:t xml:space="preserve"> </w:t>
      </w:r>
      <w:r w:rsidRPr="00382A8B">
        <w:rPr>
          <w:rFonts w:ascii="Times New Roman" w:hAnsi="Times New Roman" w:cs="Times New Roman"/>
          <w:bCs w:val="0"/>
          <w:sz w:val="22"/>
          <w:szCs w:val="22"/>
        </w:rPr>
        <w:t>besteht für die Notenbank kein Interventionszwang, sodass sich ihre Währungsreserven nicht verändern.</w:t>
      </w:r>
    </w:p>
    <w:sectPr w:rsidR="00D05F1B" w:rsidRPr="0033192D" w:rsidSect="00CC243A">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69E2" w14:textId="77777777" w:rsidR="00A235A5" w:rsidRDefault="00A235A5" w:rsidP="00680F1E">
      <w:r>
        <w:separator/>
      </w:r>
    </w:p>
  </w:endnote>
  <w:endnote w:type="continuationSeparator" w:id="0">
    <w:p w14:paraId="7808FE74" w14:textId="77777777" w:rsidR="00A235A5" w:rsidRDefault="00A235A5" w:rsidP="0068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B98B" w14:textId="7E8C47C9" w:rsidR="000F3584" w:rsidRDefault="000F3584">
    <w:pPr>
      <w:pStyle w:val="Fuzeile"/>
      <w:jc w:val="center"/>
    </w:pPr>
  </w:p>
  <w:p w14:paraId="4F22A383" w14:textId="77777777" w:rsidR="000F3584" w:rsidRDefault="000F3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F1C5E" w14:textId="77777777" w:rsidR="00A235A5" w:rsidRDefault="00A235A5" w:rsidP="00680F1E">
      <w:r>
        <w:separator/>
      </w:r>
    </w:p>
  </w:footnote>
  <w:footnote w:type="continuationSeparator" w:id="0">
    <w:p w14:paraId="678123FC" w14:textId="77777777" w:rsidR="00A235A5" w:rsidRDefault="00A235A5" w:rsidP="00680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1AB7" w14:textId="3D9C90C4" w:rsidR="00AD16AC" w:rsidRDefault="00AD16AC">
    <w:pPr>
      <w:pStyle w:val="Kopfzeile"/>
      <w:jc w:val="center"/>
    </w:pPr>
  </w:p>
  <w:p w14:paraId="525A318D" w14:textId="77777777" w:rsidR="0033192D" w:rsidRDefault="0033192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5103E"/>
    <w:multiLevelType w:val="hybridMultilevel"/>
    <w:tmpl w:val="926496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CE41399"/>
    <w:multiLevelType w:val="hybridMultilevel"/>
    <w:tmpl w:val="23A49A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8604702">
    <w:abstractNumId w:val="0"/>
  </w:num>
  <w:num w:numId="2" w16cid:durableId="1562327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F68"/>
    <w:rsid w:val="000408A2"/>
    <w:rsid w:val="000515DA"/>
    <w:rsid w:val="00057063"/>
    <w:rsid w:val="000648FA"/>
    <w:rsid w:val="0007353C"/>
    <w:rsid w:val="00076A46"/>
    <w:rsid w:val="00095ACD"/>
    <w:rsid w:val="000A6B43"/>
    <w:rsid w:val="000C07C0"/>
    <w:rsid w:val="000F0DF4"/>
    <w:rsid w:val="000F3584"/>
    <w:rsid w:val="00134215"/>
    <w:rsid w:val="00151494"/>
    <w:rsid w:val="0015436C"/>
    <w:rsid w:val="00160CEA"/>
    <w:rsid w:val="00163C84"/>
    <w:rsid w:val="0016663F"/>
    <w:rsid w:val="00171E14"/>
    <w:rsid w:val="00184597"/>
    <w:rsid w:val="00186449"/>
    <w:rsid w:val="00186C2F"/>
    <w:rsid w:val="00187BDD"/>
    <w:rsid w:val="001A3EB9"/>
    <w:rsid w:val="001E12C4"/>
    <w:rsid w:val="00214FFB"/>
    <w:rsid w:val="00215D5F"/>
    <w:rsid w:val="0022031C"/>
    <w:rsid w:val="00235C93"/>
    <w:rsid w:val="00246F63"/>
    <w:rsid w:val="00262291"/>
    <w:rsid w:val="002659D4"/>
    <w:rsid w:val="00282FD7"/>
    <w:rsid w:val="0028587A"/>
    <w:rsid w:val="0029021F"/>
    <w:rsid w:val="002970BA"/>
    <w:rsid w:val="002A6B2C"/>
    <w:rsid w:val="002A79F7"/>
    <w:rsid w:val="002D3E7F"/>
    <w:rsid w:val="002D4302"/>
    <w:rsid w:val="002D6437"/>
    <w:rsid w:val="002E70A9"/>
    <w:rsid w:val="002F4865"/>
    <w:rsid w:val="00313C2F"/>
    <w:rsid w:val="00314815"/>
    <w:rsid w:val="00324F68"/>
    <w:rsid w:val="0033192D"/>
    <w:rsid w:val="0034267C"/>
    <w:rsid w:val="00370BCE"/>
    <w:rsid w:val="003754C1"/>
    <w:rsid w:val="00380710"/>
    <w:rsid w:val="00382A8B"/>
    <w:rsid w:val="00393457"/>
    <w:rsid w:val="00396CC0"/>
    <w:rsid w:val="003B3D63"/>
    <w:rsid w:val="00402631"/>
    <w:rsid w:val="004A1DA9"/>
    <w:rsid w:val="004C2CF2"/>
    <w:rsid w:val="0050000B"/>
    <w:rsid w:val="0051493F"/>
    <w:rsid w:val="00520F1E"/>
    <w:rsid w:val="0052583D"/>
    <w:rsid w:val="00563E89"/>
    <w:rsid w:val="00581F25"/>
    <w:rsid w:val="005D2137"/>
    <w:rsid w:val="005E33D6"/>
    <w:rsid w:val="00604A8F"/>
    <w:rsid w:val="00606B9D"/>
    <w:rsid w:val="00607D0D"/>
    <w:rsid w:val="00621CBA"/>
    <w:rsid w:val="00623A24"/>
    <w:rsid w:val="0063400D"/>
    <w:rsid w:val="0063728B"/>
    <w:rsid w:val="00637AD4"/>
    <w:rsid w:val="006455DD"/>
    <w:rsid w:val="00670549"/>
    <w:rsid w:val="00671206"/>
    <w:rsid w:val="00671393"/>
    <w:rsid w:val="00675EDE"/>
    <w:rsid w:val="00680F1E"/>
    <w:rsid w:val="006B2204"/>
    <w:rsid w:val="006D25BA"/>
    <w:rsid w:val="00701809"/>
    <w:rsid w:val="0070567A"/>
    <w:rsid w:val="0070665F"/>
    <w:rsid w:val="00706A65"/>
    <w:rsid w:val="0073432E"/>
    <w:rsid w:val="0076743F"/>
    <w:rsid w:val="0077541F"/>
    <w:rsid w:val="00781BFD"/>
    <w:rsid w:val="007956F3"/>
    <w:rsid w:val="007E0BC7"/>
    <w:rsid w:val="00807E8A"/>
    <w:rsid w:val="00815A4D"/>
    <w:rsid w:val="008324BC"/>
    <w:rsid w:val="0083548A"/>
    <w:rsid w:val="0085617B"/>
    <w:rsid w:val="00873191"/>
    <w:rsid w:val="00890B5E"/>
    <w:rsid w:val="00892EB0"/>
    <w:rsid w:val="008D2A7A"/>
    <w:rsid w:val="008D42A2"/>
    <w:rsid w:val="00904BFA"/>
    <w:rsid w:val="00910C6E"/>
    <w:rsid w:val="0093383F"/>
    <w:rsid w:val="009509DF"/>
    <w:rsid w:val="00950A7C"/>
    <w:rsid w:val="00960537"/>
    <w:rsid w:val="00966712"/>
    <w:rsid w:val="009A155D"/>
    <w:rsid w:val="009A176B"/>
    <w:rsid w:val="009B482A"/>
    <w:rsid w:val="009C00D2"/>
    <w:rsid w:val="009D4860"/>
    <w:rsid w:val="009F35EC"/>
    <w:rsid w:val="00A217BE"/>
    <w:rsid w:val="00A235A5"/>
    <w:rsid w:val="00A518D9"/>
    <w:rsid w:val="00A628BE"/>
    <w:rsid w:val="00A72059"/>
    <w:rsid w:val="00A73CDC"/>
    <w:rsid w:val="00A8219E"/>
    <w:rsid w:val="00A85F09"/>
    <w:rsid w:val="00AA32F2"/>
    <w:rsid w:val="00AD16AC"/>
    <w:rsid w:val="00AD65FF"/>
    <w:rsid w:val="00B017DC"/>
    <w:rsid w:val="00B047E5"/>
    <w:rsid w:val="00B14902"/>
    <w:rsid w:val="00B47416"/>
    <w:rsid w:val="00B82163"/>
    <w:rsid w:val="00BB6985"/>
    <w:rsid w:val="00BC6555"/>
    <w:rsid w:val="00BF11D3"/>
    <w:rsid w:val="00BF1A7E"/>
    <w:rsid w:val="00C0271A"/>
    <w:rsid w:val="00C22409"/>
    <w:rsid w:val="00C2520C"/>
    <w:rsid w:val="00C83853"/>
    <w:rsid w:val="00CC243A"/>
    <w:rsid w:val="00D05F1B"/>
    <w:rsid w:val="00D33146"/>
    <w:rsid w:val="00D4062B"/>
    <w:rsid w:val="00D71154"/>
    <w:rsid w:val="00D811E7"/>
    <w:rsid w:val="00D82BFC"/>
    <w:rsid w:val="00D95000"/>
    <w:rsid w:val="00DA2E30"/>
    <w:rsid w:val="00DA30E4"/>
    <w:rsid w:val="00DC7F03"/>
    <w:rsid w:val="00E06132"/>
    <w:rsid w:val="00E147A1"/>
    <w:rsid w:val="00E22457"/>
    <w:rsid w:val="00E2385C"/>
    <w:rsid w:val="00E449BD"/>
    <w:rsid w:val="00E51BA4"/>
    <w:rsid w:val="00E52669"/>
    <w:rsid w:val="00E64E15"/>
    <w:rsid w:val="00E737ED"/>
    <w:rsid w:val="00E742FE"/>
    <w:rsid w:val="00E74D13"/>
    <w:rsid w:val="00E74ED0"/>
    <w:rsid w:val="00E90356"/>
    <w:rsid w:val="00EB340B"/>
    <w:rsid w:val="00ED002E"/>
    <w:rsid w:val="00EE7321"/>
    <w:rsid w:val="00EE79EB"/>
    <w:rsid w:val="00F12123"/>
    <w:rsid w:val="00F232AC"/>
    <w:rsid w:val="00F47800"/>
    <w:rsid w:val="00F52F30"/>
    <w:rsid w:val="00F554B2"/>
    <w:rsid w:val="00F6677E"/>
    <w:rsid w:val="00FF33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B5563"/>
  <w15:chartTrackingRefBased/>
  <w15:docId w15:val="{441F1618-A4CF-4117-B1D1-06F9B5FC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4F68"/>
    <w:pPr>
      <w:spacing w:after="0" w:line="240" w:lineRule="auto"/>
    </w:pPr>
    <w:rPr>
      <w:rFonts w:ascii="Courier New" w:eastAsia="Times New Roman" w:hAnsi="Courier New" w:cs="Courier New"/>
      <w:bCs/>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zitat-ergebnis">
    <w:name w:val="zitat-ergebnis"/>
    <w:basedOn w:val="Absatz-Standardschriftart"/>
    <w:rsid w:val="00324F68"/>
  </w:style>
  <w:style w:type="paragraph" w:styleId="StandardWeb">
    <w:name w:val="Normal (Web)"/>
    <w:aliases w:val="Standard (Web) Char"/>
    <w:basedOn w:val="Standard"/>
    <w:link w:val="StandardWebZchn"/>
    <w:rsid w:val="00324F68"/>
    <w:pPr>
      <w:spacing w:before="100" w:beforeAutospacing="1" w:after="100" w:afterAutospacing="1"/>
    </w:pPr>
    <w:rPr>
      <w:rFonts w:ascii="Verdana" w:hAnsi="Verdana" w:cs="Times New Roman"/>
      <w:bCs w:val="0"/>
      <w:sz w:val="20"/>
    </w:rPr>
  </w:style>
  <w:style w:type="table" w:styleId="Tabellenraster">
    <w:name w:val="Table Grid"/>
    <w:basedOn w:val="NormaleTabelle"/>
    <w:rsid w:val="00324F6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normal1">
    <w:name w:val="textnormal1"/>
    <w:basedOn w:val="Absatz-Standardschriftart"/>
    <w:rsid w:val="00324F68"/>
    <w:rPr>
      <w:rFonts w:ascii="Verdana" w:hAnsi="Verdana" w:hint="default"/>
      <w:b w:val="0"/>
      <w:bCs w:val="0"/>
      <w:i w:val="0"/>
      <w:iCs w:val="0"/>
      <w:color w:val="000000"/>
      <w:sz w:val="18"/>
      <w:szCs w:val="18"/>
    </w:rPr>
  </w:style>
  <w:style w:type="character" w:customStyle="1" w:styleId="StandardWebZchn">
    <w:name w:val="Standard (Web) Zchn"/>
    <w:aliases w:val="Standard (Web) Char Zchn"/>
    <w:basedOn w:val="Absatz-Standardschriftart"/>
    <w:link w:val="StandardWeb"/>
    <w:rsid w:val="00324F68"/>
    <w:rPr>
      <w:rFonts w:ascii="Verdana" w:eastAsia="Times New Roman" w:hAnsi="Verdana" w:cs="Times New Roman"/>
      <w:sz w:val="20"/>
      <w:szCs w:val="20"/>
      <w:lang w:eastAsia="de-DE"/>
    </w:rPr>
  </w:style>
  <w:style w:type="character" w:styleId="Hyperlink">
    <w:name w:val="Hyperlink"/>
    <w:basedOn w:val="Absatz-Standardschriftart"/>
    <w:uiPriority w:val="99"/>
    <w:semiHidden/>
    <w:unhideWhenUsed/>
    <w:rsid w:val="00D71154"/>
    <w:rPr>
      <w:color w:val="0000FF"/>
      <w:u w:val="single"/>
    </w:rPr>
  </w:style>
  <w:style w:type="paragraph" w:styleId="Kopfzeile">
    <w:name w:val="header"/>
    <w:basedOn w:val="Standard"/>
    <w:link w:val="KopfzeileZchn"/>
    <w:uiPriority w:val="99"/>
    <w:unhideWhenUsed/>
    <w:rsid w:val="0033192D"/>
    <w:pPr>
      <w:tabs>
        <w:tab w:val="center" w:pos="4536"/>
        <w:tab w:val="right" w:pos="9072"/>
      </w:tabs>
    </w:pPr>
  </w:style>
  <w:style w:type="character" w:customStyle="1" w:styleId="KopfzeileZchn">
    <w:name w:val="Kopfzeile Zchn"/>
    <w:basedOn w:val="Absatz-Standardschriftart"/>
    <w:link w:val="Kopfzeile"/>
    <w:uiPriority w:val="99"/>
    <w:rsid w:val="0033192D"/>
    <w:rPr>
      <w:rFonts w:ascii="Courier New" w:eastAsia="Times New Roman" w:hAnsi="Courier New" w:cs="Courier New"/>
      <w:bCs/>
      <w:sz w:val="24"/>
      <w:szCs w:val="20"/>
      <w:lang w:eastAsia="de-DE"/>
    </w:rPr>
  </w:style>
  <w:style w:type="paragraph" w:styleId="Fuzeile">
    <w:name w:val="footer"/>
    <w:basedOn w:val="Standard"/>
    <w:link w:val="FuzeileZchn"/>
    <w:uiPriority w:val="99"/>
    <w:unhideWhenUsed/>
    <w:rsid w:val="0033192D"/>
    <w:pPr>
      <w:tabs>
        <w:tab w:val="center" w:pos="4536"/>
        <w:tab w:val="right" w:pos="9072"/>
      </w:tabs>
    </w:pPr>
  </w:style>
  <w:style w:type="character" w:customStyle="1" w:styleId="FuzeileZchn">
    <w:name w:val="Fußzeile Zchn"/>
    <w:basedOn w:val="Absatz-Standardschriftart"/>
    <w:link w:val="Fuzeile"/>
    <w:uiPriority w:val="99"/>
    <w:rsid w:val="0033192D"/>
    <w:rPr>
      <w:rFonts w:ascii="Courier New" w:eastAsia="Times New Roman" w:hAnsi="Courier New" w:cs="Courier New"/>
      <w:bCs/>
      <w:sz w:val="24"/>
      <w:szCs w:val="20"/>
      <w:lang w:eastAsia="de-DE"/>
    </w:rPr>
  </w:style>
  <w:style w:type="paragraph" w:styleId="Sprechblasentext">
    <w:name w:val="Balloon Text"/>
    <w:basedOn w:val="Standard"/>
    <w:link w:val="SprechblasentextZchn"/>
    <w:uiPriority w:val="99"/>
    <w:semiHidden/>
    <w:unhideWhenUsed/>
    <w:rsid w:val="00160CE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60CEA"/>
    <w:rPr>
      <w:rFonts w:ascii="Segoe UI" w:eastAsia="Times New Roman" w:hAnsi="Segoe UI" w:cs="Segoe UI"/>
      <w:bCs/>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6558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Gehringer</dc:creator>
  <cp:keywords/>
  <dc:description/>
  <cp:lastModifiedBy>Agnieszka Gehringer</cp:lastModifiedBy>
  <cp:revision>154</cp:revision>
  <dcterms:created xsi:type="dcterms:W3CDTF">2021-08-26T15:51:00Z</dcterms:created>
  <dcterms:modified xsi:type="dcterms:W3CDTF">2023-03-08T08:06:00Z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2021-08-26T15:51:04Z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f1093c4f-5374-4618-9099-77b022633e70</vt:lpwstr>
  </property>
  <property fmtid="{D5CDD505-2E9C-101B-9397-08002B2CF9AE}" pid="8" name="MSIP_Label_e31ac907-69c7-41f8-b132-f74e8ef934a2_ContentBits">
    <vt:lpwstr>0</vt:lpwstr>
  </property>
</Properties>
</file>